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AA684" w14:textId="77777777" w:rsidR="00AF1C13" w:rsidRDefault="00AF1C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AF1C13" w14:paraId="29CA6FD4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44302AC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DATI GENERALI</w:t>
            </w:r>
          </w:p>
        </w:tc>
      </w:tr>
      <w:tr w:rsidR="00AF1C13" w14:paraId="46A8C16A" w14:textId="77777777" w:rsidTr="00C7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630EEB5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E4275AA" w14:textId="77777777" w:rsidR="00AF1C13" w:rsidRDefault="00C3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Responsabile Unità Organizzativa Complessa Mobilità Internazionale </w:t>
            </w:r>
          </w:p>
        </w:tc>
      </w:tr>
      <w:tr w:rsidR="00AF1C13" w14:paraId="375BB6AE" w14:textId="77777777" w:rsidTr="00C72F1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310E45C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A1589FE" w14:textId="77777777" w:rsidR="00AF1C13" w:rsidRDefault="00C325C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Cobelli Michela</w:t>
            </w:r>
          </w:p>
        </w:tc>
      </w:tr>
      <w:tr w:rsidR="00AF1C13" w14:paraId="64E4C467" w14:textId="77777777" w:rsidTr="00C72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547C1025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36843A9A" w14:textId="033AB134" w:rsidR="00AF1C13" w:rsidRDefault="00B71A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sz w:val="21"/>
                <w:szCs w:val="21"/>
              </w:rPr>
              <w:t>04/11/2020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09C8F3A6" w14:textId="77777777" w:rsidR="00AF1C13" w:rsidRDefault="00C325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7D37E8A4" w14:textId="77777777" w:rsidR="00AF1C13" w:rsidRDefault="00C325C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i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sz w:val="21"/>
                <w:szCs w:val="21"/>
              </w:rPr>
              <w:t>01</w:t>
            </w:r>
          </w:p>
        </w:tc>
      </w:tr>
    </w:tbl>
    <w:p w14:paraId="374F81C1" w14:textId="77777777" w:rsidR="00AF1C13" w:rsidRDefault="00AF1C13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0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F1C13" w14:paraId="09767123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003196E5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SCOPO DELLA POSIZIONE</w:t>
            </w:r>
          </w:p>
        </w:tc>
      </w:tr>
      <w:tr w:rsidR="00AF1C13" w14:paraId="4A91A819" w14:textId="77777777" w:rsidTr="00AF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FDF0A0F" w14:textId="77777777" w:rsidR="00AF1C13" w:rsidRDefault="00C325C8">
            <w:pPr>
              <w:spacing w:before="120" w:after="120"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della posizione assicura e coordina la promozione della mobilità internazionale e la gestione delle procedure inerenti ad essa: programmi di mobilità internazionale in ingresso e in uscita di studenti, docenti e personale tecnico-amministrativo.</w:t>
            </w:r>
          </w:p>
        </w:tc>
      </w:tr>
    </w:tbl>
    <w:p w14:paraId="50EA9CB0" w14:textId="77777777" w:rsidR="00AF1C13" w:rsidRDefault="00AF1C13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1"/>
        <w:tblW w:w="9854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AF1C13" w14:paraId="6C663348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389E6C0" w14:textId="77777777" w:rsidR="00AF1C13" w:rsidRDefault="00C325C8">
            <w:pPr>
              <w:tabs>
                <w:tab w:val="left" w:pos="8016"/>
              </w:tabs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ORGANIGRAMMA</w:t>
            </w:r>
          </w:p>
        </w:tc>
      </w:tr>
      <w:tr w:rsidR="00AF1C13" w14:paraId="69ECA6B3" w14:textId="77777777" w:rsidTr="00203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5474347" w14:textId="1B7A3C9C" w:rsidR="00AF1C13" w:rsidRDefault="00203C4C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b w:val="0"/>
              </w:rPr>
              <w:object w:dxaOrig="12160" w:dyaOrig="10348" w14:anchorId="6A9CC6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8pt;height:372.75pt" o:ole="">
                  <v:imagedata r:id="rId8" o:title=""/>
                </v:shape>
                <o:OLEObject Type="Embed" ProgID="Visio.Drawing.11" ShapeID="_x0000_i1025" DrawAspect="Content" ObjectID="_1669619837" r:id="rId9"/>
              </w:object>
            </w:r>
          </w:p>
        </w:tc>
      </w:tr>
      <w:tr w:rsidR="00AF1C13" w14:paraId="1A058B18" w14:textId="77777777" w:rsidTr="00AF1C1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6C40BCD" w14:textId="77777777" w:rsidR="00AF1C13" w:rsidRDefault="00C325C8">
            <w:pPr>
              <w:spacing w:before="120" w:after="120"/>
              <w:jc w:val="both"/>
              <w:rPr>
                <w:rFonts w:ascii="Roboto" w:eastAsia="Roboto" w:hAnsi="Roboto" w:cs="Roboto"/>
                <w:color w:val="FFFFFF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FFFFFF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AF1C13" w14:paraId="4946B5B9" w14:textId="77777777" w:rsidTr="00AF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61B5E677" w14:textId="77777777" w:rsidR="00AF1C13" w:rsidRDefault="00AF1C1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1A575FC4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riporta direttamente al Responsabile del Servizio Relazioni Internazionali, dal quale recepisce le indicazioni per l’individuazione degli indirizzi strategici e le priorità che orientano le attività del Servizio.</w:t>
            </w:r>
          </w:p>
          <w:p w14:paraId="25019156" w14:textId="77777777" w:rsidR="00AF1C13" w:rsidRDefault="00AF1C13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8314D62" w14:textId="77777777" w:rsidR="00AF1C13" w:rsidRDefault="00C325C8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26728AD6" w14:textId="77777777" w:rsidR="00AF1C13" w:rsidRDefault="00AF1C13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Grigliatabella"/>
              <w:tblW w:w="9634" w:type="dxa"/>
              <w:tblLayout w:type="fixed"/>
              <w:tblLook w:val="0400" w:firstRow="0" w:lastRow="0" w:firstColumn="0" w:lastColumn="0" w:noHBand="0" w:noVBand="1"/>
            </w:tblPr>
            <w:tblGrid>
              <w:gridCol w:w="3244"/>
              <w:gridCol w:w="6390"/>
            </w:tblGrid>
            <w:tr w:rsidR="00AF1C13" w14:paraId="1B4A7D48" w14:textId="77777777" w:rsidTr="00203C4C">
              <w:trPr>
                <w:trHeight w:val="1145"/>
              </w:trPr>
              <w:tc>
                <w:tcPr>
                  <w:tcW w:w="3244" w:type="dxa"/>
                  <w:vAlign w:val="center"/>
                </w:tcPr>
                <w:p w14:paraId="1344EC3E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Oltre al servizio di appartenenza, all'</w:t>
                  </w: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INTERNO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dell'Ateneo</w:t>
                  </w: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0" w:type="dxa"/>
                  <w:vAlign w:val="center"/>
                </w:tcPr>
                <w:p w14:paraId="5627B85A" w14:textId="4BFC9F6B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 PARTICOLARE</w:t>
                  </w:r>
                </w:p>
                <w:p w14:paraId="4CD82684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i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AF1C13" w14:paraId="7FF1670F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3B4F924" w14:textId="77777777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0" w:type="dxa"/>
                  <w:vAlign w:val="center"/>
                </w:tcPr>
                <w:p w14:paraId="148DB2A5" w14:textId="47737024" w:rsidR="00CA461D" w:rsidRPr="00770F6D" w:rsidRDefault="00CA461D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Senato accademico; Consiglio di amministrazione</w:t>
                  </w:r>
                  <w:r w:rsidR="007B56D4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</w:p>
                <w:p w14:paraId="32A1F4EA" w14:textId="77777777" w:rsidR="007B56D4" w:rsidRDefault="007B56D4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  <w:p w14:paraId="251E4197" w14:textId="77777777" w:rsidR="00BD5235" w:rsidRPr="00770F6D" w:rsidRDefault="00BD5235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PRO-RETTORI:</w:t>
                  </w:r>
                </w:p>
                <w:p w14:paraId="2F26A8AD" w14:textId="77777777" w:rsidR="00BD5235" w:rsidRPr="00770F6D" w:rsidRDefault="00BD5235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 informativi e Comunicazione esterna</w:t>
                  </w:r>
                </w:p>
                <w:p w14:paraId="08B83727" w14:textId="77777777" w:rsidR="00BD5235" w:rsidRPr="00770F6D" w:rsidRDefault="00BD5235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Didattica ed offerta formativa</w:t>
                  </w:r>
                </w:p>
                <w:p w14:paraId="1494EE1A" w14:textId="6409A8ED" w:rsidR="00BD5235" w:rsidRPr="00770F6D" w:rsidRDefault="00BD5235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Ricerca</w:t>
                  </w:r>
                  <w:r w:rsidR="00CA461D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e 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Terza Missione</w:t>
                  </w:r>
                </w:p>
                <w:p w14:paraId="193AB991" w14:textId="77777777" w:rsidR="00BD5235" w:rsidRPr="00770F6D" w:rsidRDefault="00BD5235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Bilancio</w:t>
                  </w:r>
                </w:p>
                <w:p w14:paraId="0CD2F950" w14:textId="77777777" w:rsidR="00BD5235" w:rsidRDefault="00BD5235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Personale docente e Comunicazione interna</w:t>
                  </w:r>
                </w:p>
                <w:p w14:paraId="3A68B1A3" w14:textId="77777777" w:rsidR="00956D51" w:rsidRDefault="00956D51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  <w:p w14:paraId="1959ABC3" w14:textId="77777777" w:rsidR="00956D51" w:rsidRDefault="00956D51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DELEGATI</w:t>
                  </w:r>
                </w:p>
                <w:p w14:paraId="73BB683D" w14:textId="5463F8E7" w:rsidR="00956D51" w:rsidRPr="00956D51" w:rsidRDefault="00956D51" w:rsidP="00956D51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956D5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Delegato del 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Rettore per gli Affari giuridici</w:t>
                  </w:r>
                </w:p>
                <w:p w14:paraId="779ADEB9" w14:textId="679A1B2E" w:rsidR="00956D51" w:rsidRPr="00956D51" w:rsidRDefault="00956D51" w:rsidP="00956D51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956D51">
                    <w:rPr>
                      <w:rFonts w:ascii="Roboto" w:eastAsia="Roboto" w:hAnsi="Roboto" w:cs="Roboto"/>
                      <w:sz w:val="21"/>
                      <w:szCs w:val="21"/>
                    </w:rPr>
                    <w:t>Orientamento “Pre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”</w:t>
                  </w:r>
                </w:p>
                <w:p w14:paraId="0B5F5513" w14:textId="54512D16" w:rsidR="00956D51" w:rsidRPr="00956D51" w:rsidRDefault="00956D51" w:rsidP="00956D51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956D51">
                    <w:rPr>
                      <w:rFonts w:ascii="Roboto" w:eastAsia="Roboto" w:hAnsi="Roboto" w:cs="Roboto"/>
                      <w:sz w:val="21"/>
                      <w:szCs w:val="21"/>
                    </w:rPr>
                    <w:t>Orientamento “Intra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”</w:t>
                  </w:r>
                </w:p>
                <w:p w14:paraId="02598E2D" w14:textId="77777777" w:rsidR="00956D51" w:rsidRDefault="00956D51" w:rsidP="00956D51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Placement</w:t>
                  </w:r>
                </w:p>
                <w:p w14:paraId="0CAC2E63" w14:textId="6A740BDC" w:rsidR="00956D51" w:rsidRPr="00956D51" w:rsidRDefault="00956D51" w:rsidP="00956D51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Public Engagement</w:t>
                  </w:r>
                </w:p>
                <w:p w14:paraId="20C6A695" w14:textId="447C4B6E" w:rsidR="00956D51" w:rsidRPr="00770F6D" w:rsidRDefault="00956D51" w:rsidP="00956D51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956D51">
                    <w:rPr>
                      <w:rFonts w:ascii="Roboto" w:eastAsia="Roboto" w:hAnsi="Roboto" w:cs="Roboto"/>
                      <w:sz w:val="21"/>
                      <w:szCs w:val="21"/>
                    </w:rPr>
                    <w:t>Eventi e percorsi culturali</w:t>
                  </w:r>
                </w:p>
              </w:tc>
            </w:tr>
            <w:tr w:rsidR="00AF1C13" w14:paraId="33FDDED2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6B0BAED8" w14:textId="77777777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DIRIGENTI DI AREE</w:t>
                  </w:r>
                </w:p>
              </w:tc>
              <w:tc>
                <w:tcPr>
                  <w:tcW w:w="6390" w:type="dxa"/>
                  <w:vAlign w:val="center"/>
                </w:tcPr>
                <w:p w14:paraId="62EA30C7" w14:textId="77777777" w:rsidR="00CA461D" w:rsidRPr="00770F6D" w:rsidRDefault="00CA461D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Area Risorse Umane e Finanziarie</w:t>
                  </w:r>
                </w:p>
                <w:p w14:paraId="2F0DEEA7" w14:textId="77777777" w:rsidR="00CA461D" w:rsidRPr="00770F6D" w:rsidRDefault="00CA461D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Area Didattica e Servizi agli Studenti</w:t>
                  </w:r>
                </w:p>
                <w:p w14:paraId="44895156" w14:textId="77777777" w:rsidR="00CA461D" w:rsidRPr="00770F6D" w:rsidRDefault="00CA461D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Area Ricerca e Terza Missione</w:t>
                  </w:r>
                </w:p>
                <w:p w14:paraId="09341081" w14:textId="77777777" w:rsidR="00AF1C13" w:rsidRPr="00770F6D" w:rsidRDefault="00CA461D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Area Tecnica Informatica e Sicurezza</w:t>
                  </w:r>
                </w:p>
                <w:p w14:paraId="3A3F932C" w14:textId="22221752" w:rsidR="0083723B" w:rsidRPr="00770F6D" w:rsidRDefault="0083723B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Area Sistemi Informativi</w:t>
                  </w:r>
                </w:p>
              </w:tc>
            </w:tr>
            <w:tr w:rsidR="00AF1C13" w:rsidRPr="00A14894" w14:paraId="4D495FF1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2D59DDFB" w14:textId="357CA03E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SERVIZI</w:t>
                  </w:r>
                </w:p>
              </w:tc>
              <w:tc>
                <w:tcPr>
                  <w:tcW w:w="6390" w:type="dxa"/>
                  <w:vAlign w:val="center"/>
                </w:tcPr>
                <w:p w14:paraId="28988F61" w14:textId="1D371A6C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Automazione Gestionale</w:t>
                  </w:r>
                </w:p>
                <w:p w14:paraId="7FC13FD2" w14:textId="42937CB2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Biblioteca Digitale</w:t>
                  </w:r>
                </w:p>
                <w:p w14:paraId="33BA5559" w14:textId="0139E1BD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Biblioteche</w:t>
                  </w:r>
                </w:p>
                <w:p w14:paraId="0E690D21" w14:textId="2BF3CCAC" w:rsidR="00770F6D" w:rsidRPr="00770F6D" w:rsidRDefault="007B56D4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Servizio Bilancio e</w:t>
                  </w:r>
                  <w:r w:rsidR="00770F6D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Programmazione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Finanziaria e</w:t>
                  </w:r>
                  <w:r w:rsidR="00770F6D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Coordinamento Amministrativo Dipartimenti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e biblioteche </w:t>
                  </w:r>
                </w:p>
                <w:p w14:paraId="6F295DA3" w14:textId="39C5E707" w:rsidR="00770F6D" w:rsidRPr="00770F6D" w:rsidRDefault="007B56D4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Servizio Carriere e Concorsi del Personale di Ateneo e Rapporti con il</w:t>
                  </w:r>
                  <w:r w:rsidR="00770F6D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Servizio Sanitario Nazionale</w:t>
                  </w:r>
                </w:p>
                <w:p w14:paraId="20FA2E54" w14:textId="56AE414D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Comunicazione</w:t>
                  </w:r>
                </w:p>
                <w:p w14:paraId="1F997991" w14:textId="5389351E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Fiscale</w:t>
                  </w:r>
                </w:p>
                <w:p w14:paraId="5DD977AE" w14:textId="56593927" w:rsidR="00770F6D" w:rsidRPr="00770F6D" w:rsidRDefault="007B56D4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Servizio Gare e</w:t>
                  </w:r>
                  <w:r w:rsidR="00770F6D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Appalti</w:t>
                  </w:r>
                </w:p>
                <w:p w14:paraId="7AD13D67" w14:textId="18FEFCC5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Gestione Facility, Utilities E Ambiente</w:t>
                  </w:r>
                </w:p>
                <w:p w14:paraId="482D8789" w14:textId="21910EE1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Gestione Infrastrutture Tecnologiche</w:t>
                  </w:r>
                </w:p>
                <w:p w14:paraId="6E3C5583" w14:textId="0C4AE8AF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Gestione Trattamento Economico E Previdenziale</w:t>
                  </w:r>
                </w:p>
                <w:p w14:paraId="1BA96A5E" w14:textId="62E6BC3A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Innovazione Didattica E Comunicazione Digitale</w:t>
                  </w:r>
                </w:p>
                <w:p w14:paraId="4D6261A7" w14:textId="69602FB6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Legale</w:t>
                  </w:r>
                </w:p>
                <w:p w14:paraId="524924C6" w14:textId="3E9F26C7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Logistica</w:t>
                  </w:r>
                </w:p>
                <w:p w14:paraId="5B14A95A" w14:textId="53B8750A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Organi Collegiali E Strutture Dipartimentali</w:t>
                  </w:r>
                </w:p>
                <w:p w14:paraId="42B1D157" w14:textId="46D41937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Post Laurea</w:t>
                  </w:r>
                </w:p>
                <w:p w14:paraId="3AB8C2CF" w14:textId="6B5F1B6D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Programmazione Didattica</w:t>
                  </w:r>
                </w:p>
                <w:p w14:paraId="5D164E9F" w14:textId="78042A1D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Programmazione E Sviluppo Organizzativo</w:t>
                  </w:r>
                </w:p>
                <w:p w14:paraId="2C5758ED" w14:textId="6AD398F9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Servizio </w:t>
                  </w:r>
                  <w:r w:rsidR="007B56D4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Qualità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E Supporto Alla Valutazione</w:t>
                  </w:r>
                </w:p>
                <w:p w14:paraId="1A511593" w14:textId="29F71064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lastRenderedPageBreak/>
                    <w:t>Servizio Ricerca E Terza Missione</w:t>
                  </w:r>
                </w:p>
                <w:p w14:paraId="33B56745" w14:textId="5E5B2154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Segreterie Studenti</w:t>
                  </w:r>
                </w:p>
                <w:p w14:paraId="514784C0" w14:textId="37A8394C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Sicurezza E Salute</w:t>
                  </w:r>
                </w:p>
                <w:p w14:paraId="44426DD1" w14:textId="36EAE905" w:rsidR="00770F6D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Sistemi Archivistici Di Ateneo</w:t>
                  </w:r>
                </w:p>
                <w:p w14:paraId="6BA5A8CB" w14:textId="380A50F0" w:rsidR="00A14894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Struttura Di Raccordo Della Direzione Generale</w:t>
                  </w:r>
                </w:p>
              </w:tc>
            </w:tr>
            <w:tr w:rsidR="00AF1C13" w14:paraId="3FE3B135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2F2857B" w14:textId="77777777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lastRenderedPageBreak/>
                    <w:t>U.O.C.</w:t>
                  </w:r>
                </w:p>
              </w:tc>
              <w:tc>
                <w:tcPr>
                  <w:tcW w:w="6390" w:type="dxa"/>
                  <w:vAlign w:val="center"/>
                </w:tcPr>
                <w:tbl>
                  <w:tblPr>
                    <w:tblW w:w="1162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20"/>
                  </w:tblGrid>
                  <w:tr w:rsidR="00770F6D" w:rsidRPr="00770F6D" w14:paraId="24AECFFC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075DD11" w14:textId="1FF1F620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 carriere e concorsi del personale docente</w:t>
                        </w:r>
                      </w:p>
                    </w:tc>
                  </w:tr>
                  <w:tr w:rsidR="00770F6D" w:rsidRPr="00770F6D" w14:paraId="4B33EAE8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6DC538" w14:textId="500284E3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budgeting e controllo di gestione</w:t>
                        </w:r>
                      </w:p>
                    </w:tc>
                  </w:tr>
                  <w:tr w:rsidR="00770F6D" w:rsidRPr="00770F6D" w14:paraId="024DF753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EA1275" w14:textId="77777777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 xml:space="preserve">U.o.c. carriere e concorsi personale tecnico amministrativo e </w:t>
                        </w:r>
                      </w:p>
                      <w:p w14:paraId="21C79FE6" w14:textId="5E8BAB27" w:rsidR="00770F6D" w:rsidRPr="0005670D" w:rsidRDefault="007B56D4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CEL</w:t>
                        </w:r>
                        <w:r w:rsidR="00770F6D"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 xml:space="preserve"> e rapporti con servizio sanitario</w:t>
                        </w:r>
                      </w:p>
                    </w:tc>
                  </w:tr>
                  <w:tr w:rsidR="00770F6D" w:rsidRPr="00770F6D" w14:paraId="57D3A399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15EA8C" w14:textId="4F067139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formazione alla ricerca</w:t>
                        </w:r>
                      </w:p>
                    </w:tc>
                  </w:tr>
                  <w:tr w:rsidR="00770F6D" w:rsidRPr="00770F6D" w14:paraId="1B134946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6949942" w14:textId="77777777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 xml:space="preserve">U.o.c. infrastrutture digitali per la didattica, </w:t>
                        </w:r>
                      </w:p>
                      <w:p w14:paraId="6D3811E4" w14:textId="39D2C9CD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formazione e comunicazione</w:t>
                        </w:r>
                      </w:p>
                    </w:tc>
                  </w:tr>
                  <w:tr w:rsidR="00770F6D" w:rsidRPr="00770F6D" w14:paraId="59D0D66F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EEB634" w14:textId="5ABA8C1C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  <w:lang w:val="en-GB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  <w:lang w:val="en-GB"/>
                          </w:rPr>
                          <w:t>U.o.c. marketing e recruitment</w:t>
                        </w:r>
                      </w:p>
                    </w:tc>
                  </w:tr>
                  <w:tr w:rsidR="00770F6D" w:rsidRPr="00770F6D" w14:paraId="7E39C868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6EA8694" w14:textId="6342D45B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privacy, anticorruzione e trasparenza</w:t>
                        </w:r>
                      </w:p>
                    </w:tc>
                  </w:tr>
                  <w:tr w:rsidR="00770F6D" w:rsidRPr="00770F6D" w14:paraId="30E66535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CA4C86" w14:textId="64C8D16B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progettazione e gestione ricerca</w:t>
                        </w:r>
                      </w:p>
                    </w:tc>
                  </w:tr>
                  <w:tr w:rsidR="00770F6D" w:rsidRPr="00770F6D" w14:paraId="5C5C82BF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C56265" w14:textId="1472A507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relazioni sindacali, facilitazione amministrativa e formazione</w:t>
                        </w:r>
                      </w:p>
                    </w:tc>
                  </w:tr>
                  <w:tr w:rsidR="00770F6D" w:rsidRPr="00770F6D" w14:paraId="7483F284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410D338" w14:textId="49F2F55D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staff rettorato e direzione generale</w:t>
                        </w:r>
                      </w:p>
                    </w:tc>
                  </w:tr>
                  <w:tr w:rsidR="00770F6D" w:rsidRPr="00770F6D" w14:paraId="479DD250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FBB6BB" w14:textId="265C392E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valorizzazione della ricerca e trasferimento tecnologico</w:t>
                        </w:r>
                      </w:p>
                    </w:tc>
                  </w:tr>
                  <w:tr w:rsidR="00770F6D" w:rsidRPr="00770F6D" w14:paraId="126E12C1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9A319D" w14:textId="218DA3CC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</w:t>
                        </w:r>
                        <w:r w:rsidR="007B56D4"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 xml:space="preserve"> </w:t>
                        </w: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video comunicazione e didattica multimediale</w:t>
                        </w:r>
                      </w:p>
                    </w:tc>
                  </w:tr>
                  <w:tr w:rsidR="00770F6D" w:rsidRPr="00770F6D" w14:paraId="382FE223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B996E79" w14:textId="126AAD79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  <w:lang w:val="en-GB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  <w:lang w:val="en-GB"/>
                          </w:rPr>
                          <w:t xml:space="preserve">U.o.c. post </w:t>
                        </w:r>
                        <w:r w:rsidR="007B56D4"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  <w:lang w:val="en-GB"/>
                          </w:rPr>
                          <w:t>Laurea</w:t>
                        </w:r>
                      </w:p>
                    </w:tc>
                  </w:tr>
                  <w:tr w:rsidR="00770F6D" w:rsidRPr="00770F6D" w14:paraId="34B48EE6" w14:textId="77777777" w:rsidTr="00770F6D">
                    <w:trPr>
                      <w:trHeight w:val="300"/>
                    </w:trPr>
                    <w:tc>
                      <w:tcPr>
                        <w:tcW w:w="1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032BD0" w14:textId="5BF86773" w:rsidR="00770F6D" w:rsidRPr="0005670D" w:rsidRDefault="00770F6D" w:rsidP="00770F6D">
                        <w:pPr>
                          <w:spacing w:after="0" w:line="240" w:lineRule="auto"/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</w:pPr>
                        <w:r w:rsidRPr="0005670D">
                          <w:rPr>
                            <w:rFonts w:ascii="Roboto" w:eastAsia="Times New Roman" w:hAnsi="Roboto"/>
                            <w:color w:val="000000"/>
                            <w:sz w:val="21"/>
                            <w:szCs w:val="21"/>
                          </w:rPr>
                          <w:t>U.o.c. scuole di specializzazione area sanitaria</w:t>
                        </w:r>
                      </w:p>
                    </w:tc>
                  </w:tr>
                </w:tbl>
                <w:p w14:paraId="7CF78CDB" w14:textId="477ECF4A" w:rsidR="00770F6D" w:rsidRPr="00770F6D" w:rsidRDefault="00770F6D" w:rsidP="00203C4C">
                  <w:pPr>
                    <w:spacing w:after="138" w:line="276" w:lineRule="auto"/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AF1C13" w14:paraId="5715CBA0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D121DA4" w14:textId="77777777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5B07D8D2" w14:textId="77777777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Tutti (18)</w:t>
                  </w:r>
                </w:p>
              </w:tc>
            </w:tr>
            <w:tr w:rsidR="00AF1C13" w:rsidRPr="00A14894" w14:paraId="76AD3A5F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A31A312" w14:textId="2F31D26F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CENTRI</w:t>
                  </w:r>
                  <w:r w:rsidR="007B56D4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di SERVIZIO</w:t>
                  </w:r>
                </w:p>
              </w:tc>
              <w:tc>
                <w:tcPr>
                  <w:tcW w:w="6390" w:type="dxa"/>
                  <w:vAlign w:val="center"/>
                </w:tcPr>
                <w:p w14:paraId="02206214" w14:textId="73B441DA" w:rsidR="00A14894" w:rsidRPr="00770F6D" w:rsidRDefault="00A14894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</w:pPr>
                  <w:proofErr w:type="spellStart"/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>Center</w:t>
                  </w:r>
                  <w:proofErr w:type="spellEnd"/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 xml:space="preserve"> for Global Strategic Engagement (GLOBEC)</w:t>
                  </w:r>
                </w:p>
                <w:p w14:paraId="654F4E04" w14:textId="72FD701E" w:rsidR="00A14894" w:rsidRPr="00770F6D" w:rsidRDefault="00A14894" w:rsidP="00A1489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Centro Linguistico d'Ateneo</w:t>
                  </w:r>
                </w:p>
                <w:p w14:paraId="1BAC9711" w14:textId="2EF2136B" w:rsidR="00770F6D" w:rsidRPr="00770F6D" w:rsidRDefault="0005670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Centro d</w:t>
                  </w:r>
                  <w:r w:rsidR="00770F6D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i Servizio Di Ateneo Centro Orientamento Universitario</w:t>
                  </w:r>
                </w:p>
                <w:p w14:paraId="5D49E399" w14:textId="168D84B9" w:rsidR="00AF1C13" w:rsidRPr="00770F6D" w:rsidRDefault="00770F6D" w:rsidP="00770F6D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</w:t>
                  </w:r>
                  <w:r w:rsidR="0005670D">
                    <w:rPr>
                      <w:rFonts w:ascii="Roboto" w:eastAsia="Roboto" w:hAnsi="Roboto" w:cs="Roboto"/>
                      <w:sz w:val="21"/>
                      <w:szCs w:val="21"/>
                    </w:rPr>
                    <w:t>entro di Servizio Di Ateneo Assistenza e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</w:t>
                  </w:r>
                  <w:r w:rsidR="0005670D">
                    <w:rPr>
                      <w:rFonts w:ascii="Roboto" w:eastAsia="Roboto" w:hAnsi="Roboto" w:cs="Roboto"/>
                      <w:sz w:val="21"/>
                      <w:szCs w:val="21"/>
                    </w:rPr>
                    <w:t>Integrazione Studenti Disabili e co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n </w:t>
                  </w:r>
                  <w:proofErr w:type="spellStart"/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Dsa</w:t>
                  </w:r>
                  <w:proofErr w:type="spellEnd"/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- S.A.I.S.D.</w:t>
                  </w:r>
                </w:p>
              </w:tc>
            </w:tr>
            <w:tr w:rsidR="00AF1C13" w14:paraId="513EE8D6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6EA54DE3" w14:textId="19BFD4C2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Personale tecnico amministrativo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56A9F593" w14:textId="77777777" w:rsidR="00AF1C13" w:rsidRPr="00770F6D" w:rsidRDefault="00C325C8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AF1C13" w14:paraId="107DA8BC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5772AD0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Collaboratori Linguistici</w:t>
                  </w:r>
                </w:p>
              </w:tc>
              <w:tc>
                <w:tcPr>
                  <w:tcW w:w="6390" w:type="dxa"/>
                  <w:vAlign w:val="center"/>
                </w:tcPr>
                <w:p w14:paraId="77B25BEE" w14:textId="380C63FC" w:rsidR="00AF1C13" w:rsidRDefault="003D6656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AF1C13" w14:paraId="65B447FC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FBEDDBC" w14:textId="6F51C95A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184D39EF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AF1C13" w14:paraId="7C5AE9D8" w14:textId="77777777" w:rsidTr="007B56D4">
              <w:trPr>
                <w:trHeight w:val="751"/>
              </w:trPr>
              <w:tc>
                <w:tcPr>
                  <w:tcW w:w="3244" w:type="dxa"/>
                  <w:vAlign w:val="center"/>
                </w:tcPr>
                <w:p w14:paraId="503A774C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6DFF75E6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AF1C13" w14:paraId="65E22EE8" w14:textId="77777777" w:rsidTr="00203C4C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46C9F5E2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0" w:type="dxa"/>
                  <w:vAlign w:val="center"/>
                </w:tcPr>
                <w:p w14:paraId="7D241B51" w14:textId="77777777" w:rsidR="007B56D4" w:rsidRPr="00770F6D" w:rsidRDefault="007B56D4" w:rsidP="007B56D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Permanente Studenti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Didattica</w:t>
                  </w:r>
                </w:p>
                <w:p w14:paraId="75E7189F" w14:textId="71684030" w:rsidR="00770F6D" w:rsidRDefault="007B56D4" w:rsidP="007B56D4">
                  <w:pPr>
                    <w:jc w:val="both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Presidio della Qualità di Ateneo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="0083723B">
                    <w:rPr>
                      <w:rFonts w:ascii="Roboto" w:eastAsia="Roboto" w:hAnsi="Roboto" w:cs="Roboto"/>
                      <w:sz w:val="21"/>
                      <w:szCs w:val="21"/>
                    </w:rPr>
                    <w:t>associazioni Studentesche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="0083723B"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ACERSAT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Associazione Laureati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="00770F6D"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Consulta dei Direttori di Dipartimento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,</w:t>
                  </w:r>
                </w:p>
                <w:p w14:paraId="5553439E" w14:textId="7D8C44BD" w:rsidR="00770F6D" w:rsidRPr="00770F6D" w:rsidRDefault="00770F6D" w:rsidP="007B56D4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Consulta del Personale Tecnico-Amministrativo e dei collaboratori esperti linguistici</w:t>
                  </w:r>
                  <w:r w:rsidR="007B56D4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Ricerca Scientifica</w:t>
                  </w:r>
                  <w:r w:rsidR="007B56D4">
                    <w:rPr>
                      <w:rFonts w:ascii="Roboto" w:eastAsia="Roboto" w:hAnsi="Roboto" w:cs="Roboto"/>
                      <w:sz w:val="21"/>
                      <w:szCs w:val="21"/>
                    </w:rPr>
                    <w:t>,</w:t>
                  </w:r>
                </w:p>
                <w:p w14:paraId="6CBBC644" w14:textId="77601E84" w:rsidR="00770F6D" w:rsidRDefault="00770F6D" w:rsidP="007B56D4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per il Trasferimento della Conoscenza</w:t>
                  </w:r>
                  <w:r w:rsidR="007B56D4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Didattica</w:t>
                  </w:r>
                  <w:r w:rsidR="007B56D4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Reclutamento e Distribuzione Risorse Personale Docente</w:t>
                  </w:r>
                  <w:r w:rsidR="007B56D4">
                    <w:rPr>
                      <w:rFonts w:ascii="Roboto" w:eastAsia="Roboto" w:hAnsi="Roboto" w:cs="Roboto"/>
                      <w:sz w:val="21"/>
                      <w:szCs w:val="21"/>
                    </w:rPr>
                    <w:t>,</w:t>
                  </w:r>
                </w:p>
                <w:p w14:paraId="53D6003B" w14:textId="0625B426" w:rsidR="002B1079" w:rsidRDefault="002B1079" w:rsidP="00770F6D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Office for </w:t>
                  </w:r>
                  <w:proofErr w:type="spellStart"/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</w:rPr>
                    <w:t>Sustainable</w:t>
                  </w:r>
                  <w:proofErr w:type="spellEnd"/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</w:rPr>
                    <w:t>Actions</w:t>
                  </w:r>
                  <w:proofErr w:type="spellEnd"/>
                </w:p>
                <w:p w14:paraId="4CEAC707" w14:textId="0D1AE940" w:rsidR="0083723B" w:rsidRDefault="0083723B" w:rsidP="00770F6D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</w:tbl>
          <w:p w14:paraId="312E728B" w14:textId="77777777" w:rsidR="00AF1C13" w:rsidRDefault="00AF1C1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Grigliatabella"/>
              <w:tblW w:w="9628" w:type="dxa"/>
              <w:tblLayout w:type="fixed"/>
              <w:tblLook w:val="0400" w:firstRow="0" w:lastRow="0" w:firstColumn="0" w:lastColumn="0" w:noHBand="0" w:noVBand="1"/>
            </w:tblPr>
            <w:tblGrid>
              <w:gridCol w:w="3255"/>
              <w:gridCol w:w="6373"/>
            </w:tblGrid>
            <w:tr w:rsidR="00AF1C13" w14:paraId="02614A88" w14:textId="77777777" w:rsidTr="00203C4C">
              <w:trPr>
                <w:trHeight w:val="1006"/>
              </w:trPr>
              <w:tc>
                <w:tcPr>
                  <w:tcW w:w="3255" w:type="dxa"/>
                  <w:vAlign w:val="center"/>
                </w:tcPr>
                <w:p w14:paraId="5DED066D" w14:textId="77777777" w:rsidR="00AF1C13" w:rsidRDefault="00C325C8" w:rsidP="00203C4C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lastRenderedPageBreak/>
                    <w:t xml:space="preserve">All'ESTERNO dell'Ateneo, 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  <w:r>
                    <w:rPr>
                      <w:rFonts w:ascii="Roboto" w:eastAsia="Roboto" w:hAnsi="Roboto" w:cs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3" w:type="dxa"/>
                  <w:vAlign w:val="center"/>
                </w:tcPr>
                <w:p w14:paraId="1F76B586" w14:textId="1551FC0A" w:rsidR="002B1079" w:rsidRDefault="00C325C8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Altri Atenei</w:t>
                  </w:r>
                  <w:r w:rsidR="002B107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Italiani, Europei e Internazionali (circa 500)</w:t>
                  </w:r>
                </w:p>
                <w:p w14:paraId="02E352E9" w14:textId="30B87533" w:rsidR="00AF1C13" w:rsidRDefault="00770F6D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Comune di Pavia, Provincia di Pavia, Prefettura e Questura di Pavia, A</w:t>
                  </w:r>
                  <w:r w:rsidR="002B1079">
                    <w:rPr>
                      <w:rFonts w:ascii="Roboto" w:eastAsia="Roboto" w:hAnsi="Roboto" w:cs="Roboto"/>
                      <w:sz w:val="21"/>
                      <w:szCs w:val="21"/>
                    </w:rPr>
                    <w:t>genzia delle Entrate,</w:t>
                  </w:r>
                  <w:r w:rsidR="00D730D1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ATS</w:t>
                  </w:r>
                </w:p>
                <w:p w14:paraId="00063661" w14:textId="09D9D4D1" w:rsidR="002B1079" w:rsidRPr="00EF53D8" w:rsidRDefault="002B1079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EF53D8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INDIRE; EACEA, </w:t>
                  </w:r>
                  <w:r w:rsidR="00D730D1" w:rsidRPr="00EF53D8">
                    <w:rPr>
                      <w:rFonts w:ascii="Roboto" w:eastAsia="Roboto" w:hAnsi="Roboto" w:cs="Roboto"/>
                      <w:sz w:val="21"/>
                      <w:szCs w:val="21"/>
                    </w:rPr>
                    <w:t>Ambasciate e consolati</w:t>
                  </w:r>
                  <w:r w:rsidR="00EF53D8" w:rsidRPr="00EF53D8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sia italiane che straniere</w:t>
                  </w:r>
                </w:p>
                <w:p w14:paraId="04C61C83" w14:textId="11A22BBF" w:rsidR="00EF53D8" w:rsidRPr="00EF53D8" w:rsidRDefault="00EF53D8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Ministero dell’Università, Minis</w:t>
                  </w:r>
                  <w:r w:rsidR="00956D51">
                    <w:rPr>
                      <w:rFonts w:ascii="Roboto" w:eastAsia="Roboto" w:hAnsi="Roboto" w:cs="Roboto"/>
                      <w:sz w:val="21"/>
                      <w:szCs w:val="21"/>
                    </w:rPr>
                    <w:t>tero degli Affari Esteri e della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cooperazione internazionale, CRUI, ANVUR, ASSOLOMBARDA</w:t>
                  </w:r>
                </w:p>
                <w:p w14:paraId="123B97FA" w14:textId="423BBF49" w:rsidR="002B1079" w:rsidRPr="002B1079" w:rsidRDefault="002B1079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</w:pPr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 xml:space="preserve">Network </w:t>
                  </w:r>
                  <w:proofErr w:type="spellStart"/>
                  <w:r w:rsidR="00D730D1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>internazional</w:t>
                  </w:r>
                  <w:r w:rsidR="00956D51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>i</w:t>
                  </w:r>
                  <w:proofErr w:type="spellEnd"/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 xml:space="preserve"> (</w:t>
                  </w:r>
                  <w:proofErr w:type="spellStart"/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>tra</w:t>
                  </w:r>
                  <w:proofErr w:type="spellEnd"/>
                  <w:r w:rsidRPr="002B1079">
                    <w:rPr>
                      <w:rFonts w:ascii="Roboto" w:eastAsia="Roboto" w:hAnsi="Roboto" w:cs="Roboto"/>
                      <w:sz w:val="21"/>
                      <w:szCs w:val="21"/>
                      <w:lang w:val="en-GB"/>
                    </w:rPr>
                    <w:t xml:space="preserve"> cui Coimbra Group, UNIMED; Scholars at risk, </w:t>
                  </w:r>
                  <w:r w:rsidRPr="002B1079">
                    <w:rPr>
                      <w:rFonts w:ascii="Arial" w:hAnsi="Arial" w:cs="Arial"/>
                      <w:color w:val="1D1D1D"/>
                      <w:lang w:val="en-GB"/>
                    </w:rPr>
                    <w:t xml:space="preserve">European Campus of City-Universities (EC2U), </w:t>
                  </w:r>
                  <w:r w:rsidR="00D730D1">
                    <w:rPr>
                      <w:rFonts w:ascii="Arial" w:hAnsi="Arial" w:cs="Arial"/>
                      <w:color w:val="1D1D1D"/>
                      <w:lang w:val="en-GB"/>
                    </w:rPr>
                    <w:t>ISEP</w:t>
                  </w:r>
                </w:p>
                <w:p w14:paraId="65F05623" w14:textId="77777777" w:rsidR="00770F6D" w:rsidRDefault="00770F6D" w:rsidP="00770F6D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770F6D">
                    <w:rPr>
                      <w:rFonts w:ascii="Roboto" w:eastAsia="Roboto" w:hAnsi="Roboto" w:cs="Roboto"/>
                      <w:sz w:val="21"/>
                      <w:szCs w:val="21"/>
                    </w:rPr>
                    <w:t>Centro Universitario Sportivo CUS Pavia</w:t>
                  </w:r>
                </w:p>
                <w:p w14:paraId="50255DF9" w14:textId="1F83A9BE" w:rsidR="00770F6D" w:rsidRDefault="00770F6D" w:rsidP="00770F6D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EDISU e collegi universitari</w:t>
                  </w:r>
                  <w:r w:rsidR="00EF53D8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e mense universitarie</w:t>
                  </w:r>
                  <w:r w:rsidR="00D730D1">
                    <w:rPr>
                      <w:rFonts w:ascii="Roboto" w:eastAsia="Roboto" w:hAnsi="Roboto" w:cs="Roboto"/>
                      <w:sz w:val="21"/>
                      <w:szCs w:val="21"/>
                    </w:rPr>
                    <w:t>, Banca Popolare di Sondrio</w:t>
                  </w:r>
                </w:p>
                <w:p w14:paraId="2C5EBFB2" w14:textId="079CF82A" w:rsidR="00D730D1" w:rsidRDefault="00D730D1" w:rsidP="00770F6D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Centro Assistenza studenti e residenze private</w:t>
                  </w:r>
                </w:p>
                <w:p w14:paraId="691C6BD2" w14:textId="73403FFA" w:rsidR="00770F6D" w:rsidRDefault="00770F6D" w:rsidP="00203C4C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  <w:highlight w:val="yellow"/>
                    </w:rPr>
                  </w:pPr>
                </w:p>
              </w:tc>
            </w:tr>
          </w:tbl>
          <w:p w14:paraId="697504D1" w14:textId="77777777" w:rsidR="00AF1C13" w:rsidRDefault="00AF1C1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47D09D11" w14:textId="77777777" w:rsidR="00AF1C13" w:rsidRDefault="00AF1C13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4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F1C13" w14:paraId="43CB2F20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92677B5" w14:textId="77777777" w:rsidR="00AF1C13" w:rsidRPr="00203C4C" w:rsidRDefault="00C325C8">
            <w:pPr>
              <w:jc w:val="both"/>
              <w:rPr>
                <w:rFonts w:ascii="Roboto" w:eastAsia="Twentieth Century" w:hAnsi="Roboto" w:cs="Twentieth Century"/>
                <w:sz w:val="21"/>
                <w:szCs w:val="21"/>
              </w:rPr>
            </w:pPr>
            <w:r w:rsidRPr="00203C4C">
              <w:rPr>
                <w:rFonts w:ascii="Roboto" w:eastAsia="Twentieth Century" w:hAnsi="Roboto" w:cs="Twentieth Century"/>
                <w:sz w:val="21"/>
                <w:szCs w:val="21"/>
              </w:rPr>
              <w:t xml:space="preserve">PROCESSI </w:t>
            </w:r>
          </w:p>
        </w:tc>
      </w:tr>
      <w:tr w:rsidR="00AF1C13" w14:paraId="7BDA11D4" w14:textId="77777777" w:rsidTr="00AF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4DBA654" w14:textId="77777777" w:rsidR="00AF1C13" w:rsidRDefault="00AF1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5988DE33" w14:textId="77777777" w:rsidR="00AF1C13" w:rsidRDefault="00C3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Facendo riferimento alla mappatura dei processi di Ateneo, l’Unità Organizzativa Complessa agisce nei seguenti processi e relativi sotto processi dei macro processi di appartenenza:</w:t>
            </w:r>
          </w:p>
          <w:p w14:paraId="72C123C4" w14:textId="77777777" w:rsidR="00AF1C13" w:rsidRDefault="00AF1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tbl>
            <w:tblPr>
              <w:tblStyle w:val="Grigliatabella"/>
              <w:tblW w:w="9658" w:type="dxa"/>
              <w:tblLayout w:type="fixed"/>
              <w:tblLook w:val="0400" w:firstRow="0" w:lastRow="0" w:firstColumn="0" w:lastColumn="0" w:noHBand="0" w:noVBand="1"/>
            </w:tblPr>
            <w:tblGrid>
              <w:gridCol w:w="3219"/>
              <w:gridCol w:w="3219"/>
              <w:gridCol w:w="3220"/>
              <w:tblGridChange w:id="0">
                <w:tblGrid>
                  <w:gridCol w:w="113"/>
                  <w:gridCol w:w="3106"/>
                  <w:gridCol w:w="113"/>
                  <w:gridCol w:w="3106"/>
                  <w:gridCol w:w="113"/>
                  <w:gridCol w:w="3107"/>
                  <w:gridCol w:w="113"/>
                </w:tblGrid>
              </w:tblGridChange>
            </w:tblGrid>
            <w:tr w:rsidR="00AF1C13" w14:paraId="37EDCA24" w14:textId="77777777" w:rsidTr="00203C4C">
              <w:trPr>
                <w:trHeight w:val="304"/>
              </w:trPr>
              <w:tc>
                <w:tcPr>
                  <w:tcW w:w="3219" w:type="dxa"/>
                  <w:shd w:val="clear" w:color="auto" w:fill="auto"/>
                  <w:vAlign w:val="center"/>
                </w:tcPr>
                <w:p w14:paraId="7685FCDA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</w:tcPr>
                <w:p w14:paraId="0D4231B5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shd w:val="clear" w:color="auto" w:fill="auto"/>
                  <w:vAlign w:val="center"/>
                </w:tcPr>
                <w:p w14:paraId="3F799FA1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AF1C13" w14:paraId="12888861" w14:textId="77777777" w:rsidTr="00203C4C">
              <w:trPr>
                <w:trHeight w:val="1556"/>
              </w:trPr>
              <w:tc>
                <w:tcPr>
                  <w:tcW w:w="3219" w:type="dxa"/>
                  <w:vMerge w:val="restart"/>
                  <w:shd w:val="clear" w:color="auto" w:fill="auto"/>
                  <w:vAlign w:val="center"/>
                </w:tcPr>
                <w:p w14:paraId="38709B13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M.5</w:t>
                  </w: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Promozione, sviluppo e gestione delle attività di internazionalizzazione</w:t>
                  </w:r>
                </w:p>
              </w:tc>
              <w:tc>
                <w:tcPr>
                  <w:tcW w:w="3219" w:type="dxa"/>
                  <w:shd w:val="clear" w:color="auto" w:fill="auto"/>
                  <w:vAlign w:val="center"/>
                </w:tcPr>
                <w:p w14:paraId="52F9F321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Mobilità studenti in entrata</w:t>
                  </w:r>
                </w:p>
              </w:tc>
              <w:tc>
                <w:tcPr>
                  <w:tcW w:w="3220" w:type="dxa"/>
                  <w:shd w:val="clear" w:color="auto" w:fill="auto"/>
                  <w:vAlign w:val="center"/>
                </w:tcPr>
                <w:p w14:paraId="59F120EA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studenti con accordi fra Atenei / Gestione studenti in entrata Erasmus Mundus Joint Master Degrees</w:t>
                  </w:r>
                </w:p>
              </w:tc>
            </w:tr>
            <w:tr w:rsidR="00AF1C13" w14:paraId="21D1D955" w14:textId="77777777" w:rsidTr="00203C4C">
              <w:trPr>
                <w:trHeight w:val="1556"/>
              </w:trPr>
              <w:tc>
                <w:tcPr>
                  <w:tcW w:w="3219" w:type="dxa"/>
                  <w:vMerge/>
                  <w:shd w:val="clear" w:color="auto" w:fill="auto"/>
                  <w:vAlign w:val="center"/>
                </w:tcPr>
                <w:p w14:paraId="6F0B3BFC" w14:textId="77777777" w:rsidR="00AF1C13" w:rsidRDefault="00AF1C13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shd w:val="clear" w:color="auto" w:fill="auto"/>
                  <w:vAlign w:val="center"/>
                </w:tcPr>
                <w:p w14:paraId="1D09226B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Mobilità studenti UniPv all'estero (in uscita)</w:t>
                  </w:r>
                </w:p>
              </w:tc>
              <w:tc>
                <w:tcPr>
                  <w:tcW w:w="3220" w:type="dxa"/>
                  <w:shd w:val="clear" w:color="auto" w:fill="auto"/>
                  <w:vAlign w:val="center"/>
                </w:tcPr>
                <w:p w14:paraId="027A1DB2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bando Erasmus / gestione studenti con accordi fra Atenei</w:t>
                  </w:r>
                </w:p>
              </w:tc>
            </w:tr>
            <w:tr w:rsidR="00AF1C13" w14:paraId="0FE09AAB" w14:textId="77777777" w:rsidTr="00203C4C">
              <w:trPr>
                <w:trHeight w:val="1556"/>
              </w:trPr>
              <w:tc>
                <w:tcPr>
                  <w:tcW w:w="3219" w:type="dxa"/>
                  <w:vMerge/>
                  <w:shd w:val="clear" w:color="auto" w:fill="auto"/>
                  <w:vAlign w:val="center"/>
                </w:tcPr>
                <w:p w14:paraId="0A8B570B" w14:textId="77777777" w:rsidR="00AF1C13" w:rsidRDefault="00AF1C13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 w:val="restart"/>
                  <w:shd w:val="clear" w:color="auto" w:fill="auto"/>
                  <w:vAlign w:val="center"/>
                </w:tcPr>
                <w:p w14:paraId="1E96FE37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Mobilità docenza (in entrata e in uscita) e formazione all'estero</w:t>
                  </w:r>
                </w:p>
              </w:tc>
              <w:tc>
                <w:tcPr>
                  <w:tcW w:w="3220" w:type="dxa"/>
                  <w:shd w:val="clear" w:color="auto" w:fill="auto"/>
                  <w:vAlign w:val="center"/>
                </w:tcPr>
                <w:p w14:paraId="21A346D2" w14:textId="3E3F76FD" w:rsidR="00AF1C13" w:rsidRDefault="00747D82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person</w:t>
                  </w:r>
                  <w:bookmarkStart w:id="1" w:name="_GoBack"/>
                  <w:bookmarkEnd w:id="1"/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ale docente e pta in entrata con il programma Erasmus</w:t>
                  </w:r>
                </w:p>
              </w:tc>
            </w:tr>
            <w:tr w:rsidR="00AF1C13" w14:paraId="41879E44" w14:textId="77777777" w:rsidTr="00BA06C9">
              <w:trPr>
                <w:trHeight w:val="1269"/>
              </w:trPr>
              <w:tc>
                <w:tcPr>
                  <w:tcW w:w="3219" w:type="dxa"/>
                  <w:vMerge/>
                  <w:shd w:val="clear" w:color="auto" w:fill="auto"/>
                  <w:vAlign w:val="center"/>
                </w:tcPr>
                <w:p w14:paraId="2D396256" w14:textId="77777777" w:rsidR="00AF1C13" w:rsidRDefault="00AF1C13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shd w:val="clear" w:color="auto" w:fill="auto"/>
                  <w:vAlign w:val="center"/>
                </w:tcPr>
                <w:p w14:paraId="0D7E4E3E" w14:textId="77777777" w:rsidR="00AF1C13" w:rsidRDefault="00AF1C13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shd w:val="clear" w:color="auto" w:fill="auto"/>
                  <w:vAlign w:val="center"/>
                </w:tcPr>
                <w:p w14:paraId="418C6190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mobilità docenti e staff in uscita in Europa con il programma Erasmus</w:t>
                  </w:r>
                </w:p>
              </w:tc>
            </w:tr>
            <w:tr w:rsidR="00AF1C13" w14:paraId="62430712" w14:textId="77777777" w:rsidTr="00BA06C9">
              <w:tblPrEx>
                <w:tblW w:w="9658" w:type="dxa"/>
                <w:tblLayout w:type="fixed"/>
                <w:tblLook w:val="0400" w:firstRow="0" w:lastRow="0" w:firstColumn="0" w:lastColumn="0" w:noHBand="0" w:noVBand="1"/>
                <w:tblPrExChange w:id="2" w:author="Utente" w:date="2020-11-03T17:35:00Z">
                  <w:tblPrEx>
                    <w:tblW w:w="9658" w:type="dxa"/>
                    <w:tblLayout w:type="fixed"/>
                    <w:tblLook w:val="0400" w:firstRow="0" w:lastRow="0" w:firstColumn="0" w:lastColumn="0" w:noHBand="0" w:noVBand="1"/>
                  </w:tblPrEx>
                </w:tblPrExChange>
              </w:tblPrEx>
              <w:trPr>
                <w:trHeight w:val="1121"/>
                <w:trPrChange w:id="3" w:author="Utente" w:date="2020-11-03T17:35:00Z">
                  <w:trPr>
                    <w:gridAfter w:val="0"/>
                    <w:trHeight w:val="1556"/>
                  </w:trPr>
                </w:trPrChange>
              </w:trPr>
              <w:tc>
                <w:tcPr>
                  <w:tcW w:w="3219" w:type="dxa"/>
                  <w:vMerge/>
                  <w:shd w:val="clear" w:color="auto" w:fill="auto"/>
                  <w:vAlign w:val="center"/>
                  <w:tcPrChange w:id="4" w:author="Utente" w:date="2020-11-03T17:35:00Z">
                    <w:tcPr>
                      <w:tcW w:w="3219" w:type="dxa"/>
                      <w:gridSpan w:val="2"/>
                      <w:vMerge/>
                      <w:shd w:val="clear" w:color="auto" w:fill="auto"/>
                      <w:vAlign w:val="center"/>
                    </w:tcPr>
                  </w:tcPrChange>
                </w:tcPr>
                <w:p w14:paraId="0ACF5F16" w14:textId="77777777" w:rsidR="00AF1C13" w:rsidRDefault="00AF1C13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shd w:val="clear" w:color="auto" w:fill="auto"/>
                  <w:vAlign w:val="center"/>
                  <w:tcPrChange w:id="5" w:author="Utente" w:date="2020-11-03T17:35:00Z">
                    <w:tcPr>
                      <w:tcW w:w="3219" w:type="dxa"/>
                      <w:gridSpan w:val="2"/>
                      <w:vMerge/>
                      <w:shd w:val="clear" w:color="auto" w:fill="auto"/>
                      <w:vAlign w:val="center"/>
                    </w:tcPr>
                  </w:tcPrChange>
                </w:tcPr>
                <w:p w14:paraId="507F944D" w14:textId="77777777" w:rsidR="00AF1C13" w:rsidRDefault="00AF1C13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20" w:type="dxa"/>
                  <w:shd w:val="clear" w:color="auto" w:fill="auto"/>
                  <w:vAlign w:val="center"/>
                  <w:tcPrChange w:id="6" w:author="Utente" w:date="2020-11-03T17:35:00Z">
                    <w:tcPr>
                      <w:tcW w:w="3220" w:type="dxa"/>
                      <w:gridSpan w:val="2"/>
                      <w:shd w:val="clear" w:color="auto" w:fill="auto"/>
                      <w:vAlign w:val="center"/>
                    </w:tcPr>
                  </w:tcPrChange>
                </w:tcPr>
                <w:p w14:paraId="4969287C" w14:textId="77777777" w:rsidR="00AF1C13" w:rsidRDefault="00C325C8" w:rsidP="00203C4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Gestione del bando per mobilità docenti extra UE (Bando Erasmus+ ICM e bando Overseas)</w:t>
                  </w:r>
                </w:p>
              </w:tc>
            </w:tr>
            <w:tr w:rsidR="00744E95" w14:paraId="728FCFCC" w14:textId="77777777" w:rsidTr="00BA06C9">
              <w:trPr>
                <w:trHeight w:val="1801"/>
              </w:trPr>
              <w:tc>
                <w:tcPr>
                  <w:tcW w:w="3219" w:type="dxa"/>
                  <w:vMerge w:val="restart"/>
                  <w:shd w:val="clear" w:color="auto" w:fill="auto"/>
                  <w:vAlign w:val="center"/>
                </w:tcPr>
                <w:p w14:paraId="5BE83CD0" w14:textId="77777777" w:rsidR="00744E95" w:rsidRDefault="00744E95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 w:val="restart"/>
                  <w:shd w:val="clear" w:color="auto" w:fill="auto"/>
                  <w:vAlign w:val="center"/>
                </w:tcPr>
                <w:p w14:paraId="7771CBEE" w14:textId="36F0819D" w:rsidR="00744E95" w:rsidRPr="00BA06C9" w:rsidRDefault="00BA06C9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hAnsi="Roboto" w:cs="Arial"/>
                      <w:bCs/>
                      <w:color w:val="000000"/>
                      <w:sz w:val="21"/>
                      <w:szCs w:val="21"/>
                    </w:rPr>
                    <w:t>A</w:t>
                  </w:r>
                  <w:r w:rsidR="00744E95" w:rsidRPr="00BA06C9">
                    <w:rPr>
                      <w:rFonts w:ascii="Roboto" w:hAnsi="Roboto" w:cs="Arial"/>
                      <w:bCs/>
                      <w:color w:val="000000"/>
                      <w:sz w:val="21"/>
                      <w:szCs w:val="21"/>
                    </w:rPr>
                    <w:t>ttivazione di programmi per mobilità,</w:t>
                  </w:r>
                  <w:r>
                    <w:rPr>
                      <w:rFonts w:ascii="Roboto" w:hAnsi="Roboto" w:cs="Arial"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="00744E95" w:rsidRPr="00BA06C9">
                    <w:rPr>
                      <w:rFonts w:ascii="Roboto" w:hAnsi="Roboto" w:cs="Arial"/>
                      <w:bCs/>
                      <w:color w:val="000000"/>
                      <w:sz w:val="21"/>
                      <w:szCs w:val="21"/>
                    </w:rPr>
                    <w:t>collaborazioni, accordi internazionali, marketing e recruitment</w:t>
                  </w:r>
                </w:p>
              </w:tc>
              <w:tc>
                <w:tcPr>
                  <w:tcW w:w="3220" w:type="dxa"/>
                  <w:shd w:val="clear" w:color="auto" w:fill="auto"/>
                  <w:vAlign w:val="center"/>
                </w:tcPr>
                <w:p w14:paraId="63A95787" w14:textId="79CB7A5F" w:rsidR="00744E95" w:rsidRDefault="00BA06C9" w:rsidP="00BA06C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S</w:t>
                  </w:r>
                  <w:r w:rsidR="00744E95" w:rsidRPr="00744E95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tipula di convenzioni e accordi internazionali attraverso la predisposizione di contratti con Università </w:t>
                  </w: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straniere</w:t>
                  </w:r>
                </w:p>
              </w:tc>
            </w:tr>
            <w:tr w:rsidR="005A0570" w14:paraId="6B52EE2B" w14:textId="77777777" w:rsidTr="00BA06C9">
              <w:trPr>
                <w:trHeight w:val="2280"/>
              </w:trPr>
              <w:tc>
                <w:tcPr>
                  <w:tcW w:w="3219" w:type="dxa"/>
                  <w:vMerge/>
                  <w:shd w:val="clear" w:color="auto" w:fill="auto"/>
                  <w:vAlign w:val="center"/>
                </w:tcPr>
                <w:p w14:paraId="492B05CB" w14:textId="0A506F94" w:rsidR="005A0570" w:rsidRDefault="005A0570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Merge/>
                  <w:shd w:val="clear" w:color="auto" w:fill="auto"/>
                  <w:vAlign w:val="center"/>
                </w:tcPr>
                <w:p w14:paraId="128A2340" w14:textId="77777777" w:rsidR="005A0570" w:rsidRDefault="005A0570" w:rsidP="00203C4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20" w:type="dxa"/>
                  <w:shd w:val="clear" w:color="auto" w:fill="auto"/>
                  <w:vAlign w:val="center"/>
                </w:tcPr>
                <w:p w14:paraId="5877144F" w14:textId="2FFD5B87" w:rsidR="005A0570" w:rsidRPr="00744E95" w:rsidRDefault="00BA06C9" w:rsidP="005A057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</w:t>
                  </w:r>
                  <w:r w:rsidR="005A0570" w:rsidRPr="00744E95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estione di programmi europei EACEA (agenzia europea Erasmus) e gestione degli auditors</w:t>
                  </w:r>
                </w:p>
              </w:tc>
            </w:tr>
          </w:tbl>
          <w:p w14:paraId="40731834" w14:textId="77777777" w:rsidR="00AF1C13" w:rsidRDefault="00AF1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1A74547D" w14:textId="77777777" w:rsidR="00AF1C13" w:rsidRDefault="00AF1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</w:tr>
    </w:tbl>
    <w:p w14:paraId="77EAEAB9" w14:textId="77777777" w:rsidR="00AF1C13" w:rsidRDefault="00AF1C13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0A3BAD07" w14:textId="77777777" w:rsidR="00AF1C13" w:rsidRDefault="00AF1C13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6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F1C13" w14:paraId="23A1AC2E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E6995B9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ATTIVITA’ PRINCIPALI</w:t>
            </w:r>
          </w:p>
        </w:tc>
      </w:tr>
      <w:tr w:rsidR="00AF1C13" w14:paraId="79060037" w14:textId="77777777" w:rsidTr="00AF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0C572F9D" w14:textId="0AA4B62C" w:rsidR="00AF1C13" w:rsidRDefault="00AF1C13">
            <w:pPr>
              <w:spacing w:line="276" w:lineRule="auto"/>
              <w:jc w:val="both"/>
              <w:rPr>
                <w:rFonts w:ascii="Roboto" w:eastAsia="Roboto" w:hAnsi="Roboto" w:cs="Roboto"/>
                <w:color w:val="FF0000"/>
                <w:sz w:val="21"/>
                <w:szCs w:val="21"/>
              </w:rPr>
            </w:pPr>
          </w:p>
          <w:p w14:paraId="07CA57C8" w14:textId="77777777" w:rsidR="00AF1C13" w:rsidRDefault="00C325C8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svolge le seguenti attività:</w:t>
            </w:r>
          </w:p>
          <w:p w14:paraId="78963A8A" w14:textId="77777777" w:rsidR="00AF1C13" w:rsidRDefault="00AF1C13">
            <w:pPr>
              <w:spacing w:line="276" w:lineRule="auto"/>
              <w:jc w:val="both"/>
              <w:rPr>
                <w:rFonts w:ascii="Roboto" w:eastAsia="Roboto" w:hAnsi="Roboto" w:cs="Roboto"/>
                <w:color w:val="FF0000"/>
                <w:sz w:val="21"/>
                <w:szCs w:val="21"/>
              </w:rPr>
            </w:pPr>
          </w:p>
          <w:p w14:paraId="3650CAC0" w14:textId="41831025" w:rsidR="00AF1C13" w:rsidRPr="00744E95" w:rsidRDefault="00C325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e organizza la mobilità</w:t>
            </w:r>
            <w:r w:rsidR="0077113E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anche blended o virtuale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degli studenti in uscita e in entrata, anche </w:t>
            </w:r>
            <w:r>
              <w:rPr>
                <w:rFonts w:ascii="Roboto" w:eastAsia="Roboto" w:hAnsi="Roboto" w:cs="Roboto"/>
                <w:b w:val="0"/>
                <w:i/>
                <w:color w:val="000000"/>
                <w:sz w:val="21"/>
                <w:szCs w:val="21"/>
              </w:rPr>
              <w:t>post lauream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, ai fini di studio e di tirocinio.</w:t>
            </w:r>
          </w:p>
          <w:p w14:paraId="7F244227" w14:textId="0295A329" w:rsidR="00CC3411" w:rsidRPr="00BA06C9" w:rsidRDefault="00203C4C" w:rsidP="00CC34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Supporta dal punto di vista amministrativo 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tutti gli studenti, </w:t>
            </w:r>
            <w:r w:rsidR="00C325C8">
              <w:rPr>
                <w:rFonts w:ascii="Roboto" w:eastAsia="Roboto" w:hAnsi="Roboto" w:cs="Roboto"/>
                <w:b w:val="0"/>
                <w:i/>
                <w:color w:val="000000"/>
                <w:sz w:val="21"/>
                <w:szCs w:val="21"/>
              </w:rPr>
              <w:t>incomin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g e </w:t>
            </w:r>
            <w:r w:rsidR="00C325C8">
              <w:rPr>
                <w:rFonts w:ascii="Roboto" w:eastAsia="Roboto" w:hAnsi="Roboto" w:cs="Roboto"/>
                <w:b w:val="0"/>
                <w:i/>
                <w:color w:val="000000"/>
                <w:sz w:val="21"/>
                <w:szCs w:val="21"/>
              </w:rPr>
              <w:t>outgoing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, in mobilità Erasmus+ e in mobilità internazionale nell’ambito degli accordi internazionali d’Ateneo e delle </w:t>
            </w:r>
            <w:r w:rsidR="00C325C8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reti internazionali delle quali l’Università è parte;</w:t>
            </w:r>
          </w:p>
          <w:p w14:paraId="41A11F41" w14:textId="3F8EBBB3" w:rsidR="00CC3411" w:rsidRPr="00BA06C9" w:rsidRDefault="00CC3411" w:rsidP="00CC34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Presiede e coordina il processo di digitalizzazione della gestione della mobilità internazionale di ateneo;</w:t>
            </w:r>
          </w:p>
          <w:p w14:paraId="2D987B45" w14:textId="61BD920B" w:rsidR="00C72F11" w:rsidRPr="00BA06C9" w:rsidRDefault="00423D67" w:rsidP="001026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Coordina e supervisiona tutti gli aspetti gestionali dei </w:t>
            </w:r>
            <w:r w:rsidR="00C325C8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progetti di mobilità</w:t>
            </w:r>
            <w:r w:rsidR="003D37D3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per studenti in entrata e in uscita</w:t>
            </w: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, in particolare: </w:t>
            </w:r>
          </w:p>
          <w:p w14:paraId="748DE344" w14:textId="54AEDBFA" w:rsidR="003D37D3" w:rsidRPr="00BA06C9" w:rsidRDefault="003D37D3" w:rsidP="0077113E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Gesti</w:t>
            </w:r>
            <w:r w:rsidR="00CC341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sce la negoziazione, sottoscrizione e implementazione </w:t>
            </w:r>
            <w:r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dell’accordo con sede partner</w:t>
            </w:r>
            <w:r w:rsidR="0077113E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:  corrispondenza, negoziazione, raccolta informazioni con le università partner; verifica del loro andamento (e conseguente innalzamento o diminuzione dei posti gestiti) e delle scadenze;</w:t>
            </w:r>
          </w:p>
          <w:p w14:paraId="118C90D7" w14:textId="495FA7DF" w:rsidR="00CC3411" w:rsidRPr="00BA06C9" w:rsidRDefault="00CC3411" w:rsidP="0077113E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Valuta la qualità e l’andamento degli accordi di mobilità;</w:t>
            </w:r>
          </w:p>
          <w:p w14:paraId="2B4706E2" w14:textId="41819BB5" w:rsidR="003D37D3" w:rsidRPr="00BA06C9" w:rsidRDefault="00BA06C9" w:rsidP="00C72F11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Gestisce 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la procedura concorsuale (per studenti </w:t>
            </w:r>
            <w:r w:rsidR="00956D5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outgoing e 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incoming</w:t>
            </w:r>
            <w:r w:rsidR="00956D5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, a seconda dell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e regole definite dai programmi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) </w:t>
            </w:r>
          </w:p>
          <w:p w14:paraId="75026986" w14:textId="5352E3F2" w:rsidR="003D37D3" w:rsidRPr="00BA06C9" w:rsidRDefault="00BA06C9" w:rsidP="00C72F11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Gestisce 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l’accoglienza</w:t>
            </w:r>
            <w:r w:rsidR="00C72F1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l’</w:t>
            </w:r>
            <w:r w:rsidR="00C72F1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immatricolazione e 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l’</w:t>
            </w:r>
            <w:r w:rsidR="00C72F1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assistenza pre e post mobilità (per studenti incoming)</w:t>
            </w:r>
          </w:p>
          <w:p w14:paraId="7718BA01" w14:textId="0DBBC365" w:rsidR="003D37D3" w:rsidRPr="00BA06C9" w:rsidRDefault="00BA06C9" w:rsidP="00C72F11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Gestisce le r</w:t>
            </w:r>
            <w:r w:rsidR="00956D5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ichieste di 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pagamento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contributi alla mobilità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</w:t>
            </w:r>
            <w:r w:rsidR="00C72F11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e rendicontazione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dei finanziamenti assegnati (europei, ministeriali e di ateneo)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.</w:t>
            </w:r>
          </w:p>
          <w:p w14:paraId="2E6DD888" w14:textId="77777777" w:rsidR="003D37D3" w:rsidRPr="00BA06C9" w:rsidRDefault="003D37D3" w:rsidP="00C72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1E28D3F" w14:textId="2FFCD055" w:rsidR="00AF1C13" w:rsidRPr="00BA06C9" w:rsidRDefault="00C325C8" w:rsidP="0010260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992" w:hanging="567"/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la mobilità internazionale dello staff e del personale docente</w:t>
            </w:r>
            <w:r w:rsidR="00203C4C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in entrata e in uscita</w:t>
            </w:r>
            <w:r w:rsidR="003D37D3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, con programma Erasmus (UE e extra UE),</w:t>
            </w:r>
            <w:r w:rsidR="004B47BA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in particolare:</w:t>
            </w:r>
          </w:p>
          <w:p w14:paraId="2444DB39" w14:textId="7A1F5F3E" w:rsidR="003D37D3" w:rsidRPr="00BA06C9" w:rsidRDefault="00BA06C9" w:rsidP="003D37D3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Gestisce 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l’accordo con la sede p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artner o la struttura ospitante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: corrispondenza, negoziazione, raccolta informazioni con le università partner; verifica del loro andamento (e 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lastRenderedPageBreak/>
              <w:t>conseguente innalzamento o diminuzione dei posti gestiti) e delle scadenze;</w:t>
            </w:r>
          </w:p>
          <w:p w14:paraId="3CCD574B" w14:textId="2ECBB27D" w:rsidR="003D37D3" w:rsidRPr="00BA06C9" w:rsidRDefault="00BA06C9" w:rsidP="003D37D3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Definisce i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l programma di formazione (per mobilità in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uscita ed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entrata)</w:t>
            </w:r>
          </w:p>
          <w:p w14:paraId="1952AA0D" w14:textId="684906CA" w:rsidR="003D37D3" w:rsidRPr="00BA06C9" w:rsidRDefault="00BA06C9" w:rsidP="003D37D3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Gestisce 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la procedura di selezione (bando, candidature, predisposizione modulistica), per mobilità in uscita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ed entrata, a seconda delle regole definite dai programmi )</w:t>
            </w:r>
          </w:p>
          <w:p w14:paraId="396959CB" w14:textId="59AE7665" w:rsidR="004B47BA" w:rsidRPr="00BA06C9" w:rsidRDefault="00BA06C9" w:rsidP="003D37D3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Gestisce l’a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ccoglienza e 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l’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assistenza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dei candidati in ingresso ed entrata</w:t>
            </w:r>
          </w:p>
          <w:p w14:paraId="66ABE478" w14:textId="36097085" w:rsidR="004B47BA" w:rsidRPr="00BA06C9" w:rsidRDefault="00BA06C9" w:rsidP="00744E95">
            <w:pPr>
              <w:pStyle w:val="Paragrafoelenco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Gestisce la r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ichiesta di pagamento e re</w:t>
            </w:r>
            <w:r w:rsidR="003D37D3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ndicontazione 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>dei finanziamenti assegnati (europei, ministeriali e di ateneo)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</w:t>
            </w:r>
            <w:r w:rsidR="0099117B" w:rsidRPr="00BA06C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dei contributi alla mobilità </w:t>
            </w:r>
          </w:p>
          <w:p w14:paraId="5B517F9A" w14:textId="1224C90F" w:rsidR="00AF1C13" w:rsidRPr="00BA06C9" w:rsidRDefault="004B4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Progetta e coordina i servizi </w:t>
            </w:r>
            <w:r w:rsidR="00C325C8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di accoglienza e orientamento </w:t>
            </w: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degli</w:t>
            </w:r>
            <w:r w:rsidR="00C325C8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studenti incoming</w:t>
            </w: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: </w:t>
            </w:r>
            <w:r w:rsidR="00C325C8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dall’avvio (welcome day/week) al monitoraggio in itinere delle attività, in collaborazione con la UOC Marketing e Recruitment;</w:t>
            </w:r>
          </w:p>
          <w:p w14:paraId="60992F5A" w14:textId="71252646" w:rsidR="00AF1C13" w:rsidRPr="00BA06C9" w:rsidRDefault="004B47B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Progetta e coordina </w:t>
            </w:r>
            <w:r w:rsidR="00744E95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il servizio</w:t>
            </w:r>
            <w:r w:rsidR="00C325C8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di accoglienza e orientamento agli studenti per la mobilità in uscita.</w:t>
            </w:r>
          </w:p>
          <w:p w14:paraId="6FBA8BED" w14:textId="2DF33A2C" w:rsidR="00AF1C13" w:rsidRPr="00BA06C9" w:rsidRDefault="00C325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la Carta Univer</w:t>
            </w:r>
            <w:r w:rsidR="004B0D83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sitaria Erasmus (ECHE)</w:t>
            </w:r>
            <w:r w:rsidR="00C72F11" w:rsidRP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per il supporto agli studenti in mobilità sia in entrata che in uscita;</w:t>
            </w:r>
          </w:p>
          <w:p w14:paraId="6296E314" w14:textId="3B098AE8" w:rsidR="00AF1C13" w:rsidRPr="00744E95" w:rsidRDefault="00C325C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8"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Coordina i docenti referenti per la mobilità internazionale nei Dipartimenti e con le Commissioni dipartimentali per la gestione dei bandi di mobilità internazionale.</w:t>
            </w:r>
          </w:p>
          <w:p w14:paraId="7822C7E9" w14:textId="19422381" w:rsidR="00CC3411" w:rsidRPr="00744E95" w:rsidRDefault="00CC341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8"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Presiede e coordina tutte le attività di promozione e disseminazione delle opportunità di mobilità internazionali a livello di ateneo e all’esterno</w:t>
            </w:r>
          </w:p>
          <w:p w14:paraId="51926A54" w14:textId="7BA4EACD" w:rsidR="00AF1C13" w:rsidRPr="00BA06C9" w:rsidRDefault="00CC3411" w:rsidP="00BA06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38"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Partecipa a network internazionali universitari con particolare riferimento allo scambio di buone pratiche sulla mobilità internazionale</w:t>
            </w:r>
          </w:p>
        </w:tc>
      </w:tr>
    </w:tbl>
    <w:p w14:paraId="3DB0D80E" w14:textId="77777777" w:rsidR="004B0D83" w:rsidRDefault="004B0D8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  <w:bookmarkStart w:id="7" w:name="_gjdgxs" w:colFirst="0" w:colLast="0"/>
      <w:bookmarkEnd w:id="7"/>
    </w:p>
    <w:tbl>
      <w:tblPr>
        <w:tblStyle w:val="a7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F1C13" w14:paraId="3FCBE4D6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09348B2D" w14:textId="77777777" w:rsidR="00AF1C13" w:rsidRDefault="00C325C8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FINALITA’ DELLA POSIZIONE </w:t>
            </w:r>
          </w:p>
        </w:tc>
      </w:tr>
      <w:tr w:rsidR="00AF1C13" w14:paraId="6F0FE449" w14:textId="77777777" w:rsidTr="00AF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0D0B00A" w14:textId="77777777" w:rsidR="00BA06C9" w:rsidRDefault="00BA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</w:p>
          <w:p w14:paraId="0C16B505" w14:textId="0AD1038A" w:rsidR="00AF1C13" w:rsidRDefault="00C3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Le responsabilità della posizione sono:</w:t>
            </w:r>
            <w:r w:rsidR="00C72F1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</w:p>
          <w:p w14:paraId="5E2B3B09" w14:textId="77777777" w:rsidR="00AF1C13" w:rsidRDefault="00AF1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3B84A747" w14:textId="77777777" w:rsidR="00AF1C13" w:rsidRDefault="00C325C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Assicurare una corretta gestione delle procedure di mobilità in entrata e in uscita per studenti, docenti e staff. </w:t>
            </w:r>
          </w:p>
          <w:p w14:paraId="6B1234EB" w14:textId="393A450A" w:rsidR="00AF1C13" w:rsidRDefault="004B47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Assicurare l’efficacia e l’efficienza di 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un servizio di accoglienza </w:t>
            </w:r>
            <w:r w:rsidR="00744E9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di candidati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incoming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capace di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valorizz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are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l’Ateneo;</w:t>
            </w:r>
          </w:p>
          <w:p w14:paraId="05C61D66" w14:textId="7E1D028F" w:rsidR="00AF1C13" w:rsidRPr="00744E95" w:rsidRDefault="004B47B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Assicurare 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un servizio di orientamento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efficace ed 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efficiente per </w:t>
            </w:r>
            <w:r w:rsidR="00744E9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i candidati </w:t>
            </w:r>
            <w:r w:rsidR="00C325C8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incoming e outgoing</w:t>
            </w:r>
          </w:p>
          <w:p w14:paraId="21B768F4" w14:textId="26B54813" w:rsidR="00744E95" w:rsidRPr="00C72F11" w:rsidRDefault="00744E9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Assicura</w:t>
            </w:r>
            <w:r w:rsidR="00CF0D2C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re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la qualità accademica e didattica dei periodi di mobilità internazionale </w:t>
            </w:r>
          </w:p>
          <w:p w14:paraId="34850B51" w14:textId="32E6263B" w:rsidR="00F879B6" w:rsidRDefault="00F879B6" w:rsidP="00BA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4FB5B7C2" w14:textId="77777777" w:rsidR="00AF1C13" w:rsidRDefault="00AF1C13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F817E02" w14:textId="77777777" w:rsidR="00BA06C9" w:rsidRDefault="00BA06C9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60FE22F5" w14:textId="77777777" w:rsidR="00BA06C9" w:rsidRDefault="00BA06C9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7C972B9" w14:textId="77777777" w:rsidR="0056189E" w:rsidRDefault="0056189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5642E5D1" w14:textId="77777777" w:rsidR="0056189E" w:rsidRDefault="0056189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5F776F1F" w14:textId="77777777" w:rsidR="0056189E" w:rsidRDefault="0056189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3EEDD32" w14:textId="77777777" w:rsidR="0056189E" w:rsidRDefault="0056189E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108FFB1B" w14:textId="77777777" w:rsidR="00BA06C9" w:rsidRDefault="00BA06C9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A3D74B3" w14:textId="77777777" w:rsidR="007B56D4" w:rsidRDefault="007B56D4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72B2B9A3" w14:textId="77777777" w:rsidR="007B56D4" w:rsidRDefault="007B56D4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4D888E69" w14:textId="77777777" w:rsidR="007B56D4" w:rsidRDefault="007B56D4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8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F1C13" w14:paraId="7B3FC7C8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09577568" w14:textId="77777777" w:rsidR="00AF1C13" w:rsidRDefault="00C325C8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>DIMENSIONE DELLA POSIZIONE</w:t>
            </w:r>
          </w:p>
        </w:tc>
      </w:tr>
      <w:tr w:rsidR="00AF1C13" w14:paraId="3C739157" w14:textId="77777777" w:rsidTr="00AF1C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CEA5AF7" w14:textId="77777777" w:rsidR="00BA06C9" w:rsidRDefault="00BA06C9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8E03BEA" w14:textId="77777777" w:rsidR="00AF1C13" w:rsidRDefault="00C325C8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RISORSE UMANE</w:t>
            </w:r>
          </w:p>
          <w:p w14:paraId="2D676E61" w14:textId="77777777" w:rsidR="00AF1C13" w:rsidRDefault="00C325C8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della posizione gestisce e coordina n. 7 risorse umane, per categoria economica:</w:t>
            </w:r>
          </w:p>
          <w:p w14:paraId="74024811" w14:textId="77777777" w:rsidR="00AF1C13" w:rsidRDefault="00AF1C13">
            <w:pP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  <w:p w14:paraId="1693A34C" w14:textId="77777777" w:rsidR="00AF1C13" w:rsidRDefault="00C32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 4 D/2 Area amministrativa-gestionale </w:t>
            </w:r>
          </w:p>
          <w:p w14:paraId="38EC5C79" w14:textId="77777777" w:rsidR="00AF1C13" w:rsidRDefault="00C32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 3 C/2 Area amministrativa </w:t>
            </w:r>
          </w:p>
          <w:p w14:paraId="5EA45AD5" w14:textId="77777777" w:rsidR="00AF1C13" w:rsidRDefault="00AF1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623D8527" w14:textId="77777777" w:rsidR="00AF1C13" w:rsidRPr="0033527E" w:rsidRDefault="00C325C8" w:rsidP="00335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contextualSpacing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 w:rsidRPr="0033527E"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TITOLI DI STUDIO </w:t>
            </w:r>
          </w:p>
          <w:p w14:paraId="6D2A18F5" w14:textId="445D6515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Le risorse assegnate al Titolare sono in possesso dei seguenti titoli: </w:t>
            </w:r>
          </w:p>
          <w:p w14:paraId="030C6F83" w14:textId="77777777" w:rsidR="00AF1C13" w:rsidRDefault="00AF1C13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F1E957D" w14:textId="77777777" w:rsidR="00AF1C13" w:rsidRDefault="00C32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 6 risorse possiedono il titolo di Laurea </w:t>
            </w:r>
          </w:p>
          <w:p w14:paraId="235985ED" w14:textId="77777777" w:rsidR="00AF1C13" w:rsidRDefault="00C325C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1 risorsa possiede il titolo di Master di I livello</w:t>
            </w:r>
          </w:p>
        </w:tc>
      </w:tr>
    </w:tbl>
    <w:p w14:paraId="389B91F2" w14:textId="77777777" w:rsidR="00AF1C13" w:rsidRDefault="00AF1C13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9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AF1C13" w14:paraId="3E2B6632" w14:textId="77777777" w:rsidTr="00AF1C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33AB480" w14:textId="77777777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COMPETENZE </w:t>
            </w:r>
          </w:p>
        </w:tc>
      </w:tr>
      <w:tr w:rsidR="00AF1C13" w14:paraId="103E6E4B" w14:textId="77777777" w:rsidTr="00BA06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CAB2210" w14:textId="77777777" w:rsidR="0033527E" w:rsidRDefault="0033527E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7EA1018A" w14:textId="2F66918B" w:rsidR="00BA06C9" w:rsidRPr="00BA06C9" w:rsidRDefault="00BA06C9" w:rsidP="00BA06C9">
            <w:pPr>
              <w:spacing w:line="276" w:lineRule="auto"/>
              <w:jc w:val="both"/>
              <w:rPr>
                <w:rFonts w:ascii="Roboto" w:hAnsi="Roboto"/>
                <w:b w:val="0"/>
                <w:bCs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La persona chiamata a ricoprire questa posizione dovrebbe preferibilmente avere il set di competenze che segue:</w:t>
            </w:r>
          </w:p>
          <w:p w14:paraId="01C4F6F5" w14:textId="77777777" w:rsidR="00BA06C9" w:rsidRDefault="00BA06C9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AEDA0AC" w14:textId="76988B63" w:rsidR="00AF1C13" w:rsidRDefault="00C325C8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CONOSCENZE </w:t>
            </w:r>
          </w:p>
          <w:p w14:paraId="1939C678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della normativa universitaria e dei Regolamenti d’Ateneo, con particolare</w:t>
            </w:r>
          </w:p>
          <w:p w14:paraId="7E9C83C2" w14:textId="7D0CFED1" w:rsidR="00BA06C9" w:rsidRPr="00BA06C9" w:rsidRDefault="00C325C8" w:rsidP="00BA06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riferimento a quelli inerenti alla mobilità internazionale</w:t>
            </w:r>
            <w:r w:rsidR="00BA06C9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36A4C014" w14:textId="6AACAA45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e capacità di utilizzo di gestionali e database per la mobilità internazionale;</w:t>
            </w:r>
          </w:p>
          <w:p w14:paraId="696985D9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di project management</w:t>
            </w:r>
          </w:p>
          <w:p w14:paraId="1040B3B8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di lingue straniere</w:t>
            </w:r>
          </w:p>
          <w:p w14:paraId="1D3B642D" w14:textId="13C4EB29" w:rsidR="00AF1C13" w:rsidRPr="005A0570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disciplina e funzionamento Organi di Ateneo;</w:t>
            </w:r>
          </w:p>
          <w:p w14:paraId="0A7ECD05" w14:textId="77777777" w:rsidR="00AF1C13" w:rsidRDefault="00AF1C13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3D3F5C0C" w14:textId="552851B8" w:rsidR="00AF1C13" w:rsidRDefault="00C325C8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ESPERIENZE</w:t>
            </w:r>
          </w:p>
          <w:p w14:paraId="6505A476" w14:textId="10A69E48" w:rsidR="004B0D83" w:rsidRPr="005B7739" w:rsidRDefault="004B0D83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Precedente copertura di posizioni che prevedano l’esercizio di ruoli con responsabilità in merito 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alla gestione della mobilità in entrata e in uscita di studenti, docenti e staff.</w:t>
            </w:r>
          </w:p>
          <w:p w14:paraId="7DF3181E" w14:textId="74236B3B" w:rsidR="00AF1C13" w:rsidRPr="004B0D83" w:rsidRDefault="004B0D83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>Partecipazione a progetti o esperienze consulenziali negli ambiti tecnici e cognitivi d</w:t>
            </w:r>
            <w:r>
              <w:rPr>
                <w:rFonts w:ascii="Roboto" w:hAnsi="Roboto"/>
                <w:b w:val="0"/>
                <w:color w:val="000000"/>
                <w:sz w:val="21"/>
                <w:szCs w:val="21"/>
              </w:rPr>
              <w:t>ei servizi offerti dalla U.O.C.</w:t>
            </w:r>
          </w:p>
          <w:p w14:paraId="4AB3F69B" w14:textId="06D3EA52" w:rsidR="00AF1C13" w:rsidRDefault="00C325C8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CAPACITÀ</w:t>
            </w:r>
          </w:p>
          <w:p w14:paraId="750886D3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analisi</w:t>
            </w:r>
          </w:p>
          <w:p w14:paraId="632949C8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capacità innovativa</w:t>
            </w:r>
          </w:p>
          <w:p w14:paraId="24235E0D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abilità relazionale</w:t>
            </w:r>
          </w:p>
          <w:p w14:paraId="7BDBCF58" w14:textId="77777777" w:rsidR="00AF1C13" w:rsidRPr="00C72F11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collaborazione</w:t>
            </w:r>
          </w:p>
          <w:p w14:paraId="55ABCB7E" w14:textId="3AAA7704" w:rsidR="00EE298E" w:rsidRDefault="00EE298E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negoziazione</w:t>
            </w:r>
          </w:p>
          <w:p w14:paraId="3AAE4CC5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capacità realizzative (iniziativa, autonomia, tenacia, costanza)</w:t>
            </w:r>
          </w:p>
          <w:p w14:paraId="4BC3E753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pianificazione</w:t>
            </w:r>
          </w:p>
          <w:p w14:paraId="358E391D" w14:textId="77777777" w:rsidR="00AF1C13" w:rsidRDefault="00C325C8" w:rsidP="004B0D8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coordinamento e networking</w:t>
            </w:r>
          </w:p>
          <w:p w14:paraId="2C31DED5" w14:textId="77777777" w:rsidR="00AF1C13" w:rsidRDefault="00AF1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9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4619EFB7" w14:textId="77777777" w:rsidR="00AF1C13" w:rsidRDefault="00AF1C13">
      <w:pPr>
        <w:jc w:val="both"/>
        <w:rPr>
          <w:rFonts w:ascii="Roboto" w:eastAsia="Roboto" w:hAnsi="Roboto" w:cs="Roboto"/>
          <w:sz w:val="21"/>
          <w:szCs w:val="21"/>
        </w:rPr>
      </w:pPr>
    </w:p>
    <w:sectPr w:rsidR="00AF1C13">
      <w:headerReference w:type="default" r:id="rId10"/>
      <w:pgSz w:w="11906" w:h="16838"/>
      <w:pgMar w:top="1417" w:right="1134" w:bottom="1134" w:left="1134" w:header="142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1DB4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2924E" w14:textId="77777777" w:rsidR="00CC305D" w:rsidRDefault="00CC305D">
      <w:pPr>
        <w:spacing w:after="0" w:line="240" w:lineRule="auto"/>
      </w:pPr>
      <w:r>
        <w:separator/>
      </w:r>
    </w:p>
  </w:endnote>
  <w:endnote w:type="continuationSeparator" w:id="0">
    <w:p w14:paraId="61AA87C0" w14:textId="77777777" w:rsidR="00CC305D" w:rsidRDefault="00CC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wentieth Centur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31713" w14:textId="77777777" w:rsidR="00CC305D" w:rsidRDefault="00CC305D">
      <w:pPr>
        <w:spacing w:after="0" w:line="240" w:lineRule="auto"/>
      </w:pPr>
      <w:r>
        <w:separator/>
      </w:r>
    </w:p>
  </w:footnote>
  <w:footnote w:type="continuationSeparator" w:id="0">
    <w:p w14:paraId="178796D7" w14:textId="77777777" w:rsidR="00CC305D" w:rsidRDefault="00CC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F6A82" w14:textId="77777777" w:rsidR="00AF1C13" w:rsidRDefault="00C325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8"/>
        <w:szCs w:val="8"/>
      </w:rPr>
    </w:pPr>
    <w:r>
      <w:rPr>
        <w:noProof/>
        <w:color w:val="000000"/>
      </w:rPr>
      <w:drawing>
        <wp:inline distT="0" distB="0" distL="0" distR="0" wp14:anchorId="46A4F3E1" wp14:editId="412CE2B1">
          <wp:extent cx="2659342" cy="696931"/>
          <wp:effectExtent l="0" t="0" r="0" b="0"/>
          <wp:docPr id="2" name="image2.jpg" descr="C:\Users\utente\Desktop\NICOLE\nuovo logo  e carta intestata\SVILUPPO_ORIZZ_LUNGO_NERO SU BI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tente\Desktop\NICOLE\nuovo logo  e carta intestata\SVILUPPO_ORIZZ_LUNGO_NERO SU BIANC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9342" cy="6969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EF8"/>
    <w:multiLevelType w:val="multilevel"/>
    <w:tmpl w:val="24B6AE0A"/>
    <w:lvl w:ilvl="0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F3554"/>
    <w:multiLevelType w:val="multilevel"/>
    <w:tmpl w:val="081A24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647E78"/>
    <w:multiLevelType w:val="multilevel"/>
    <w:tmpl w:val="46BAC0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49637E"/>
    <w:multiLevelType w:val="multilevel"/>
    <w:tmpl w:val="51882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D770A0C"/>
    <w:multiLevelType w:val="multilevel"/>
    <w:tmpl w:val="50D6B76A"/>
    <w:lvl w:ilvl="0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3150B0D"/>
    <w:multiLevelType w:val="multilevel"/>
    <w:tmpl w:val="2D5C9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217658F"/>
    <w:multiLevelType w:val="multilevel"/>
    <w:tmpl w:val="E1D2A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2FA2791"/>
    <w:multiLevelType w:val="multilevel"/>
    <w:tmpl w:val="484E3B7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8F44BA"/>
    <w:multiLevelType w:val="multilevel"/>
    <w:tmpl w:val="9C586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6466478"/>
    <w:multiLevelType w:val="multilevel"/>
    <w:tmpl w:val="20606750"/>
    <w:lvl w:ilvl="0">
      <w:start w:val="1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1C32603"/>
    <w:multiLevelType w:val="hybridMultilevel"/>
    <w:tmpl w:val="87041164"/>
    <w:lvl w:ilvl="0" w:tplc="A1DE608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13"/>
    <w:rsid w:val="0005670D"/>
    <w:rsid w:val="000D433B"/>
    <w:rsid w:val="00102606"/>
    <w:rsid w:val="00203C4C"/>
    <w:rsid w:val="002B1079"/>
    <w:rsid w:val="00330914"/>
    <w:rsid w:val="0033527E"/>
    <w:rsid w:val="003D37D3"/>
    <w:rsid w:val="003D6656"/>
    <w:rsid w:val="003E3F4F"/>
    <w:rsid w:val="00423D67"/>
    <w:rsid w:val="004864C1"/>
    <w:rsid w:val="004877F1"/>
    <w:rsid w:val="004B0D83"/>
    <w:rsid w:val="004B47BA"/>
    <w:rsid w:val="0056189E"/>
    <w:rsid w:val="005A0570"/>
    <w:rsid w:val="007123FD"/>
    <w:rsid w:val="00744E95"/>
    <w:rsid w:val="00747D82"/>
    <w:rsid w:val="00770F6D"/>
    <w:rsid w:val="0077113E"/>
    <w:rsid w:val="007B56D4"/>
    <w:rsid w:val="0083723B"/>
    <w:rsid w:val="00956D51"/>
    <w:rsid w:val="0099117B"/>
    <w:rsid w:val="00A14894"/>
    <w:rsid w:val="00AF1C13"/>
    <w:rsid w:val="00B71A1F"/>
    <w:rsid w:val="00BA06C9"/>
    <w:rsid w:val="00BD5235"/>
    <w:rsid w:val="00C0706C"/>
    <w:rsid w:val="00C17E81"/>
    <w:rsid w:val="00C325C8"/>
    <w:rsid w:val="00C72F11"/>
    <w:rsid w:val="00C7770C"/>
    <w:rsid w:val="00CA461D"/>
    <w:rsid w:val="00CC305D"/>
    <w:rsid w:val="00CC3411"/>
    <w:rsid w:val="00CF0D2C"/>
    <w:rsid w:val="00D730D1"/>
    <w:rsid w:val="00EE298E"/>
    <w:rsid w:val="00EF53D8"/>
    <w:rsid w:val="00F26623"/>
    <w:rsid w:val="00F82259"/>
    <w:rsid w:val="00F8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DB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423D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3D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3D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3D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3D6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D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0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D3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423D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3D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3D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3D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3D67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D6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0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D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Scarozza</dc:creator>
  <cp:lastModifiedBy>Roberta De Donno</cp:lastModifiedBy>
  <cp:revision>10</cp:revision>
  <dcterms:created xsi:type="dcterms:W3CDTF">2020-11-02T14:24:00Z</dcterms:created>
  <dcterms:modified xsi:type="dcterms:W3CDTF">2020-12-16T09:31:00Z</dcterms:modified>
</cp:coreProperties>
</file>