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A75BE" w14:textId="77777777" w:rsidR="00400F4D" w:rsidRPr="0057068C" w:rsidRDefault="0063189B" w:rsidP="00400F4D">
      <w:pPr>
        <w:jc w:val="center"/>
        <w:rPr>
          <w:rFonts w:ascii="Roboto" w:hAnsi="Roboto"/>
          <w:b/>
          <w:sz w:val="21"/>
          <w:szCs w:val="21"/>
        </w:rPr>
      </w:pPr>
      <w:r w:rsidRPr="0057068C">
        <w:rPr>
          <w:rFonts w:ascii="Roboto" w:hAnsi="Roboto"/>
          <w:b/>
          <w:sz w:val="21"/>
          <w:szCs w:val="21"/>
        </w:rPr>
        <w:t>ATTESTAZIONE DI REGOLARITÀ PER IL CONFERIMENTO DEGLI INCARICHI DI COLLABORAZIONE E CONSULENZA PRESSO L’UNIVERSITÀ DI PAVIA</w:t>
      </w:r>
    </w:p>
    <w:p w14:paraId="0493D9C9" w14:textId="77777777" w:rsidR="0047435C" w:rsidRPr="0057068C" w:rsidRDefault="0047435C" w:rsidP="00400F4D">
      <w:pPr>
        <w:jc w:val="center"/>
        <w:rPr>
          <w:rFonts w:ascii="Roboto" w:hAnsi="Roboto"/>
          <w:b/>
          <w:sz w:val="21"/>
          <w:szCs w:val="21"/>
        </w:rPr>
      </w:pPr>
    </w:p>
    <w:p w14:paraId="3716ACBE" w14:textId="77777777" w:rsidR="00400F4D" w:rsidRPr="0057068C" w:rsidRDefault="00400F4D" w:rsidP="00400F4D">
      <w:pPr>
        <w:jc w:val="center"/>
        <w:rPr>
          <w:rFonts w:ascii="Roboto" w:hAnsi="Roboto"/>
          <w:sz w:val="21"/>
          <w:szCs w:val="21"/>
        </w:rPr>
      </w:pPr>
    </w:p>
    <w:p w14:paraId="7BEDBBC1" w14:textId="1076A5E5" w:rsidR="00400F4D" w:rsidRPr="0057068C" w:rsidRDefault="00DF7497" w:rsidP="009676FE">
      <w:pPr>
        <w:jc w:val="both"/>
        <w:rPr>
          <w:rFonts w:ascii="Roboto" w:hAnsi="Roboto"/>
          <w:sz w:val="21"/>
          <w:szCs w:val="21"/>
        </w:rPr>
      </w:pPr>
      <w:r w:rsidRPr="0057068C">
        <w:rPr>
          <w:rFonts w:ascii="Roboto" w:hAnsi="Roboto"/>
          <w:sz w:val="21"/>
          <w:szCs w:val="21"/>
        </w:rPr>
        <w:t>La sottoscritta</w:t>
      </w:r>
      <w:r w:rsidR="00620897">
        <w:rPr>
          <w:rFonts w:ascii="Roboto" w:hAnsi="Roboto"/>
          <w:sz w:val="21"/>
          <w:szCs w:val="21"/>
        </w:rPr>
        <w:t xml:space="preserve"> Patrizia Marazza </w:t>
      </w:r>
      <w:r w:rsidR="00400F4D" w:rsidRPr="0057068C">
        <w:rPr>
          <w:rFonts w:ascii="Roboto" w:hAnsi="Roboto"/>
          <w:sz w:val="21"/>
          <w:szCs w:val="21"/>
        </w:rPr>
        <w:t xml:space="preserve">in qualità di </w:t>
      </w:r>
      <w:r w:rsidRPr="0057068C">
        <w:rPr>
          <w:rFonts w:ascii="Roboto" w:hAnsi="Roboto"/>
          <w:sz w:val="21"/>
          <w:szCs w:val="21"/>
        </w:rPr>
        <w:t>Responsabile del Servizio</w:t>
      </w:r>
      <w:r w:rsidR="00620897">
        <w:rPr>
          <w:rFonts w:ascii="Roboto" w:hAnsi="Roboto"/>
          <w:sz w:val="21"/>
          <w:szCs w:val="21"/>
        </w:rPr>
        <w:t xml:space="preserve"> Carriere e Concorsi Personale d’Ateneo e rapporti con SSN</w:t>
      </w:r>
      <w:r w:rsidR="00400F4D" w:rsidRPr="0057068C">
        <w:rPr>
          <w:rFonts w:ascii="Roboto" w:hAnsi="Roboto"/>
          <w:sz w:val="21"/>
          <w:szCs w:val="21"/>
        </w:rPr>
        <w:t>, in relazione alla documentazione trasmessa in allegato, relativa al contratto di collaborazione</w:t>
      </w:r>
      <w:r w:rsidR="00D647A1">
        <w:rPr>
          <w:rFonts w:ascii="Roboto" w:hAnsi="Roboto"/>
          <w:sz w:val="21"/>
          <w:szCs w:val="21"/>
        </w:rPr>
        <w:t>/consulenza</w:t>
      </w:r>
      <w:r w:rsidR="009676FE" w:rsidRPr="0057068C">
        <w:rPr>
          <w:rFonts w:ascii="Roboto" w:hAnsi="Roboto"/>
          <w:sz w:val="21"/>
          <w:szCs w:val="21"/>
        </w:rPr>
        <w:t xml:space="preserve"> affidato</w:t>
      </w:r>
      <w:r w:rsidR="00DC7444">
        <w:rPr>
          <w:rFonts w:ascii="Roboto" w:hAnsi="Roboto"/>
          <w:sz w:val="21"/>
          <w:szCs w:val="21"/>
        </w:rPr>
        <w:t xml:space="preserve"> </w:t>
      </w:r>
      <w:r w:rsidR="00D647A1">
        <w:rPr>
          <w:rFonts w:ascii="Roboto" w:hAnsi="Roboto"/>
          <w:sz w:val="21"/>
          <w:szCs w:val="21"/>
        </w:rPr>
        <w:t>a</w:t>
      </w:r>
    </w:p>
    <w:p w14:paraId="6A48C6EF" w14:textId="77777777" w:rsidR="00400F4D" w:rsidRPr="0057068C" w:rsidRDefault="00400F4D" w:rsidP="00400F4D">
      <w:pPr>
        <w:rPr>
          <w:rFonts w:ascii="Roboto" w:hAnsi="Roboto"/>
          <w:sz w:val="21"/>
          <w:szCs w:val="21"/>
        </w:rPr>
      </w:pPr>
    </w:p>
    <w:p w14:paraId="0504A75A" w14:textId="77777777" w:rsidR="00400F4D" w:rsidRPr="0057068C" w:rsidRDefault="00400F4D" w:rsidP="00400F4D">
      <w:pPr>
        <w:jc w:val="center"/>
        <w:rPr>
          <w:rFonts w:ascii="Roboto" w:hAnsi="Roboto"/>
          <w:b/>
          <w:sz w:val="21"/>
          <w:szCs w:val="21"/>
        </w:rPr>
      </w:pPr>
      <w:r w:rsidRPr="0057068C">
        <w:rPr>
          <w:rFonts w:ascii="Roboto" w:hAnsi="Roboto"/>
          <w:b/>
          <w:sz w:val="21"/>
          <w:szCs w:val="21"/>
        </w:rPr>
        <w:t>dichiara</w:t>
      </w:r>
    </w:p>
    <w:p w14:paraId="1E94EA16" w14:textId="77777777" w:rsidR="0047435C" w:rsidRPr="0057068C" w:rsidRDefault="0047435C" w:rsidP="00400F4D">
      <w:pPr>
        <w:jc w:val="center"/>
        <w:rPr>
          <w:rFonts w:ascii="Roboto" w:hAnsi="Roboto"/>
          <w:sz w:val="21"/>
          <w:szCs w:val="21"/>
        </w:rPr>
      </w:pPr>
    </w:p>
    <w:p w14:paraId="51E4FEEB" w14:textId="77777777" w:rsidR="00400F4D" w:rsidRPr="0057068C" w:rsidRDefault="00400F4D" w:rsidP="00400F4D">
      <w:pPr>
        <w:jc w:val="both"/>
        <w:rPr>
          <w:rFonts w:ascii="Roboto" w:hAnsi="Roboto"/>
          <w:sz w:val="21"/>
          <w:szCs w:val="21"/>
        </w:rPr>
      </w:pPr>
      <w:r w:rsidRPr="0057068C">
        <w:rPr>
          <w:rFonts w:ascii="Roboto" w:hAnsi="Roboto"/>
          <w:sz w:val="21"/>
          <w:szCs w:val="21"/>
        </w:rPr>
        <w:t>sotto la propria responsabilità, di aver preliminarmente accertato che:</w:t>
      </w:r>
    </w:p>
    <w:p w14:paraId="59146EA9" w14:textId="77777777" w:rsidR="00524B08" w:rsidRPr="0057068C" w:rsidRDefault="00524B08" w:rsidP="00400F4D">
      <w:pPr>
        <w:jc w:val="both"/>
        <w:rPr>
          <w:rFonts w:ascii="Roboto" w:hAnsi="Roboto"/>
          <w:sz w:val="21"/>
          <w:szCs w:val="21"/>
        </w:rPr>
      </w:pPr>
    </w:p>
    <w:p w14:paraId="7FE63BCE" w14:textId="0FF56CDE" w:rsidR="00524B08" w:rsidRPr="0057068C" w:rsidRDefault="00524B08" w:rsidP="00B80A71">
      <w:pPr>
        <w:numPr>
          <w:ilvl w:val="0"/>
          <w:numId w:val="4"/>
        </w:numPr>
        <w:rPr>
          <w:rFonts w:ascii="Roboto" w:hAnsi="Roboto"/>
          <w:sz w:val="21"/>
          <w:szCs w:val="21"/>
        </w:rPr>
      </w:pPr>
      <w:r w:rsidRPr="0057068C">
        <w:rPr>
          <w:rFonts w:ascii="Roboto" w:hAnsi="Roboto"/>
          <w:sz w:val="21"/>
          <w:szCs w:val="21"/>
        </w:rPr>
        <w:t xml:space="preserve">in base alla dichiarazione sostitutiva di </w:t>
      </w:r>
      <w:r w:rsidR="00BE67D6" w:rsidRPr="0057068C">
        <w:rPr>
          <w:rFonts w:ascii="Roboto" w:hAnsi="Roboto"/>
          <w:sz w:val="21"/>
          <w:szCs w:val="21"/>
        </w:rPr>
        <w:t>a</w:t>
      </w:r>
      <w:r w:rsidRPr="0057068C">
        <w:rPr>
          <w:rFonts w:ascii="Roboto" w:hAnsi="Roboto"/>
          <w:sz w:val="21"/>
          <w:szCs w:val="21"/>
        </w:rPr>
        <w:t>tto notorio resa dal collaboratore (ai sensi dell’art. 15, c. 1, lett. c) del D</w:t>
      </w:r>
      <w:r w:rsidR="004452CB" w:rsidRPr="0057068C">
        <w:rPr>
          <w:rFonts w:ascii="Roboto" w:hAnsi="Roboto"/>
          <w:sz w:val="21"/>
          <w:szCs w:val="21"/>
        </w:rPr>
        <w:t>. L</w:t>
      </w:r>
      <w:r w:rsidRPr="0057068C">
        <w:rPr>
          <w:rFonts w:ascii="Roboto" w:hAnsi="Roboto"/>
          <w:sz w:val="21"/>
          <w:szCs w:val="21"/>
        </w:rPr>
        <w:t>gs</w:t>
      </w:r>
      <w:r w:rsidR="004452CB" w:rsidRPr="0057068C">
        <w:rPr>
          <w:rFonts w:ascii="Roboto" w:hAnsi="Roboto"/>
          <w:sz w:val="21"/>
          <w:szCs w:val="21"/>
        </w:rPr>
        <w:t>.</w:t>
      </w:r>
      <w:r w:rsidRPr="0057068C">
        <w:rPr>
          <w:rFonts w:ascii="Roboto" w:hAnsi="Roboto"/>
          <w:sz w:val="21"/>
          <w:szCs w:val="21"/>
        </w:rPr>
        <w:t xml:space="preserve"> 33/2013), sull’eventuale titolarità di incarichi/cariche in enti di diritto privato regolati o finanziati dalla pubblica amministrazione o allo svolgimento di attività professionale, non sussistono situazioni, anche potenziali, di conflitto di interesse</w:t>
      </w:r>
      <w:r w:rsidR="00BE67D6" w:rsidRPr="0057068C">
        <w:rPr>
          <w:rFonts w:ascii="Roboto" w:hAnsi="Roboto"/>
          <w:sz w:val="21"/>
          <w:szCs w:val="21"/>
        </w:rPr>
        <w:t>;</w:t>
      </w:r>
      <w:r w:rsidRPr="0057068C">
        <w:rPr>
          <w:rStyle w:val="Rimandonotaapidipagina"/>
          <w:rFonts w:ascii="Roboto" w:hAnsi="Roboto"/>
          <w:sz w:val="21"/>
          <w:szCs w:val="21"/>
        </w:rPr>
        <w:footnoteReference w:id="1"/>
      </w:r>
    </w:p>
    <w:p w14:paraId="3E915C0D" w14:textId="77777777" w:rsidR="00BE67D6" w:rsidRPr="0057068C" w:rsidRDefault="00BE67D6" w:rsidP="00B80A71">
      <w:pPr>
        <w:jc w:val="both"/>
        <w:rPr>
          <w:rFonts w:ascii="Roboto" w:hAnsi="Roboto"/>
          <w:sz w:val="21"/>
          <w:szCs w:val="21"/>
        </w:rPr>
      </w:pPr>
    </w:p>
    <w:p w14:paraId="69852F45" w14:textId="77777777" w:rsidR="00FC461E" w:rsidRPr="0057068C" w:rsidRDefault="00A0639F" w:rsidP="00B80A71">
      <w:pPr>
        <w:numPr>
          <w:ilvl w:val="0"/>
          <w:numId w:val="4"/>
        </w:numPr>
        <w:rPr>
          <w:rFonts w:ascii="Roboto" w:hAnsi="Roboto"/>
          <w:sz w:val="21"/>
          <w:szCs w:val="21"/>
        </w:rPr>
      </w:pPr>
      <w:r w:rsidRPr="0057068C">
        <w:rPr>
          <w:rFonts w:ascii="Roboto" w:hAnsi="Roboto"/>
          <w:sz w:val="21"/>
          <w:szCs w:val="21"/>
        </w:rPr>
        <w:t>è</w:t>
      </w:r>
      <w:r w:rsidR="00FC461E" w:rsidRPr="0057068C">
        <w:rPr>
          <w:rFonts w:ascii="Roboto" w:hAnsi="Roboto"/>
          <w:sz w:val="21"/>
          <w:szCs w:val="21"/>
        </w:rPr>
        <w:t xml:space="preserve"> stato accertato il rispetto de</w:t>
      </w:r>
      <w:r w:rsidR="000D3BAB" w:rsidRPr="0057068C">
        <w:rPr>
          <w:rFonts w:ascii="Roboto" w:hAnsi="Roboto"/>
          <w:sz w:val="21"/>
          <w:szCs w:val="21"/>
        </w:rPr>
        <w:t xml:space="preserve">i </w:t>
      </w:r>
      <w:r w:rsidR="00FC461E" w:rsidRPr="0057068C">
        <w:rPr>
          <w:rFonts w:ascii="Roboto" w:hAnsi="Roboto"/>
          <w:sz w:val="21"/>
          <w:szCs w:val="21"/>
        </w:rPr>
        <w:t>requisiti previsti dall’art.7, c</w:t>
      </w:r>
      <w:r w:rsidR="000D3BAB" w:rsidRPr="0057068C">
        <w:rPr>
          <w:rFonts w:ascii="Roboto" w:hAnsi="Roboto"/>
          <w:sz w:val="21"/>
          <w:szCs w:val="21"/>
        </w:rPr>
        <w:t xml:space="preserve">c. 5-bis e </w:t>
      </w:r>
      <w:r w:rsidR="00FC461E" w:rsidRPr="0057068C">
        <w:rPr>
          <w:rFonts w:ascii="Roboto" w:hAnsi="Roboto"/>
          <w:sz w:val="21"/>
          <w:szCs w:val="21"/>
        </w:rPr>
        <w:t>6 del D.</w:t>
      </w:r>
      <w:r w:rsidR="004452CB" w:rsidRPr="0057068C">
        <w:rPr>
          <w:rFonts w:ascii="Roboto" w:hAnsi="Roboto"/>
          <w:sz w:val="21"/>
          <w:szCs w:val="21"/>
        </w:rPr>
        <w:t xml:space="preserve"> </w:t>
      </w:r>
      <w:r w:rsidR="00FC461E" w:rsidRPr="0057068C">
        <w:rPr>
          <w:rFonts w:ascii="Roboto" w:hAnsi="Roboto"/>
          <w:sz w:val="21"/>
          <w:szCs w:val="21"/>
        </w:rPr>
        <w:t>L</w:t>
      </w:r>
      <w:r w:rsidR="004452CB" w:rsidRPr="0057068C">
        <w:rPr>
          <w:rFonts w:ascii="Roboto" w:hAnsi="Roboto"/>
          <w:sz w:val="21"/>
          <w:szCs w:val="21"/>
        </w:rPr>
        <w:t>gs</w:t>
      </w:r>
      <w:r w:rsidR="00FC461E" w:rsidRPr="0057068C">
        <w:rPr>
          <w:rFonts w:ascii="Roboto" w:hAnsi="Roboto"/>
          <w:sz w:val="21"/>
          <w:szCs w:val="21"/>
        </w:rPr>
        <w:t>.</w:t>
      </w:r>
      <w:r w:rsidR="004452CB" w:rsidRPr="0057068C">
        <w:rPr>
          <w:rFonts w:ascii="Roboto" w:hAnsi="Roboto"/>
          <w:sz w:val="21"/>
          <w:szCs w:val="21"/>
        </w:rPr>
        <w:t xml:space="preserve"> </w:t>
      </w:r>
      <w:r w:rsidR="00FC461E" w:rsidRPr="0057068C">
        <w:rPr>
          <w:rFonts w:ascii="Roboto" w:hAnsi="Roboto"/>
          <w:sz w:val="21"/>
          <w:szCs w:val="21"/>
        </w:rPr>
        <w:t>165/2001</w:t>
      </w:r>
      <w:r w:rsidR="004F577B" w:rsidRPr="0057068C">
        <w:rPr>
          <w:rStyle w:val="Rimandonotaapidipagina"/>
          <w:rFonts w:ascii="Roboto" w:hAnsi="Roboto"/>
          <w:sz w:val="21"/>
          <w:szCs w:val="21"/>
        </w:rPr>
        <w:footnoteReference w:id="2"/>
      </w:r>
      <w:r w:rsidR="00FC461E" w:rsidRPr="0057068C">
        <w:rPr>
          <w:rFonts w:ascii="Roboto" w:hAnsi="Roboto"/>
          <w:sz w:val="21"/>
          <w:szCs w:val="21"/>
        </w:rPr>
        <w:t xml:space="preserve"> e successive modificazioni</w:t>
      </w:r>
    </w:p>
    <w:p w14:paraId="35734E06" w14:textId="77777777" w:rsidR="0040117B" w:rsidRPr="0057068C" w:rsidRDefault="0040117B" w:rsidP="0040117B">
      <w:pPr>
        <w:autoSpaceDE w:val="0"/>
        <w:autoSpaceDN w:val="0"/>
        <w:adjustRightInd w:val="0"/>
        <w:rPr>
          <w:rFonts w:ascii="Roboto" w:hAnsi="Roboto" w:cs="Garamond"/>
          <w:color w:val="000000"/>
          <w:sz w:val="21"/>
          <w:szCs w:val="21"/>
        </w:rPr>
      </w:pPr>
    </w:p>
    <w:p w14:paraId="2384FB7F" w14:textId="0198509C" w:rsidR="0057068C" w:rsidRPr="0057068C" w:rsidRDefault="0057068C" w:rsidP="0057068C">
      <w:pPr>
        <w:autoSpaceDE w:val="0"/>
        <w:autoSpaceDN w:val="0"/>
        <w:adjustRightInd w:val="0"/>
        <w:jc w:val="center"/>
        <w:rPr>
          <w:rFonts w:ascii="Roboto" w:hAnsi="Roboto" w:cs="Garamond"/>
          <w:color w:val="000000"/>
          <w:sz w:val="21"/>
          <w:szCs w:val="21"/>
        </w:rPr>
      </w:pPr>
      <w:r w:rsidRPr="0057068C">
        <w:rPr>
          <w:rFonts w:ascii="Roboto" w:hAnsi="Roboto" w:cs="Garamond"/>
          <w:color w:val="000000"/>
          <w:sz w:val="21"/>
          <w:szCs w:val="21"/>
        </w:rPr>
        <w:t xml:space="preserve">La Responsabile del </w:t>
      </w:r>
      <w:r w:rsidR="00620897">
        <w:rPr>
          <w:rFonts w:ascii="Roboto" w:hAnsi="Roboto" w:cs="Garamond"/>
          <w:color w:val="000000"/>
          <w:sz w:val="21"/>
          <w:szCs w:val="21"/>
        </w:rPr>
        <w:t>Servizio</w:t>
      </w:r>
    </w:p>
    <w:p w14:paraId="5392A9EB" w14:textId="49A47069" w:rsidR="0057068C" w:rsidRPr="0057068C" w:rsidRDefault="00620897" w:rsidP="00620897">
      <w:pPr>
        <w:autoSpaceDE w:val="0"/>
        <w:autoSpaceDN w:val="0"/>
        <w:adjustRightInd w:val="0"/>
        <w:ind w:left="3540" w:firstLine="708"/>
        <w:rPr>
          <w:rFonts w:ascii="Roboto" w:hAnsi="Roboto" w:cs="Garamond"/>
          <w:color w:val="000000"/>
          <w:sz w:val="21"/>
          <w:szCs w:val="21"/>
        </w:rPr>
      </w:pPr>
      <w:r>
        <w:rPr>
          <w:rFonts w:ascii="Roboto" w:hAnsi="Roboto" w:cs="Garamond"/>
          <w:color w:val="000000"/>
          <w:sz w:val="21"/>
          <w:szCs w:val="21"/>
        </w:rPr>
        <w:t>Patrizia Marazza</w:t>
      </w:r>
    </w:p>
    <w:sectPr w:rsidR="0057068C" w:rsidRPr="0057068C" w:rsidSect="00FC0337">
      <w:headerReference w:type="default" r:id="rId7"/>
      <w:footerReference w:type="even" r:id="rId8"/>
      <w:footerReference w:type="default" r:id="rId9"/>
      <w:pgSz w:w="11906" w:h="16838"/>
      <w:pgMar w:top="107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BF1C8" w14:textId="77777777" w:rsidR="000912F7" w:rsidRDefault="000912F7">
      <w:r>
        <w:separator/>
      </w:r>
    </w:p>
  </w:endnote>
  <w:endnote w:type="continuationSeparator" w:id="0">
    <w:p w14:paraId="09FF2906" w14:textId="77777777" w:rsidR="000912F7" w:rsidRDefault="0009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7BB3" w14:textId="77777777" w:rsidR="00E549D6" w:rsidRDefault="000B6102" w:rsidP="00D57030">
    <w:pPr>
      <w:pStyle w:val="Pidipagina"/>
      <w:framePr w:wrap="around" w:vAnchor="text" w:hAnchor="margin" w:xAlign="right" w:y="1"/>
      <w:rPr>
        <w:rStyle w:val="Numeropagina"/>
      </w:rPr>
    </w:pPr>
    <w:r>
      <w:rPr>
        <w:rStyle w:val="Numeropagina"/>
      </w:rPr>
      <w:fldChar w:fldCharType="begin"/>
    </w:r>
    <w:r w:rsidR="00E549D6">
      <w:rPr>
        <w:rStyle w:val="Numeropagina"/>
      </w:rPr>
      <w:instrText xml:space="preserve">PAGE  </w:instrText>
    </w:r>
    <w:r>
      <w:rPr>
        <w:rStyle w:val="Numeropagina"/>
      </w:rPr>
      <w:fldChar w:fldCharType="end"/>
    </w:r>
  </w:p>
  <w:p w14:paraId="251A5BF1" w14:textId="77777777" w:rsidR="00E549D6" w:rsidRDefault="00E549D6" w:rsidP="00C5145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FE12" w14:textId="77777777" w:rsidR="00E549D6" w:rsidRDefault="000B6102" w:rsidP="00D57030">
    <w:pPr>
      <w:pStyle w:val="Pidipagina"/>
      <w:framePr w:wrap="around" w:vAnchor="text" w:hAnchor="margin" w:xAlign="right" w:y="1"/>
      <w:rPr>
        <w:rStyle w:val="Numeropagina"/>
      </w:rPr>
    </w:pPr>
    <w:r>
      <w:rPr>
        <w:rStyle w:val="Numeropagina"/>
      </w:rPr>
      <w:fldChar w:fldCharType="begin"/>
    </w:r>
    <w:r w:rsidR="00E549D6">
      <w:rPr>
        <w:rStyle w:val="Numeropagina"/>
      </w:rPr>
      <w:instrText xml:space="preserve">PAGE  </w:instrText>
    </w:r>
    <w:r>
      <w:rPr>
        <w:rStyle w:val="Numeropagina"/>
      </w:rPr>
      <w:fldChar w:fldCharType="separate"/>
    </w:r>
    <w:r w:rsidR="0057068C">
      <w:rPr>
        <w:rStyle w:val="Numeropagina"/>
        <w:noProof/>
      </w:rPr>
      <w:t>1</w:t>
    </w:r>
    <w:r>
      <w:rPr>
        <w:rStyle w:val="Numeropagina"/>
      </w:rPr>
      <w:fldChar w:fldCharType="end"/>
    </w:r>
  </w:p>
  <w:p w14:paraId="4ABCC74A" w14:textId="77777777" w:rsidR="00E549D6" w:rsidRDefault="00E549D6" w:rsidP="00C5145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A0C9E" w14:textId="77777777" w:rsidR="000912F7" w:rsidRDefault="000912F7">
      <w:r>
        <w:separator/>
      </w:r>
    </w:p>
  </w:footnote>
  <w:footnote w:type="continuationSeparator" w:id="0">
    <w:p w14:paraId="04AAC3EA" w14:textId="77777777" w:rsidR="000912F7" w:rsidRDefault="000912F7">
      <w:r>
        <w:continuationSeparator/>
      </w:r>
    </w:p>
  </w:footnote>
  <w:footnote w:id="1">
    <w:p w14:paraId="5A0DC17C" w14:textId="77777777" w:rsidR="00E549D6" w:rsidRPr="004F577B" w:rsidRDefault="00E549D6" w:rsidP="00524B08">
      <w:pPr>
        <w:pStyle w:val="Testonotaapidipagina"/>
        <w:rPr>
          <w:rFonts w:ascii="Roboto" w:hAnsi="Roboto"/>
          <w:b/>
          <w:sz w:val="14"/>
          <w:szCs w:val="14"/>
        </w:rPr>
      </w:pPr>
      <w:r w:rsidRPr="004F577B">
        <w:rPr>
          <w:rStyle w:val="Rimandonotaapidipagina"/>
          <w:rFonts w:ascii="Roboto" w:hAnsi="Roboto"/>
          <w:sz w:val="14"/>
          <w:szCs w:val="14"/>
        </w:rPr>
        <w:footnoteRef/>
      </w:r>
      <w:r w:rsidRPr="004F577B">
        <w:rPr>
          <w:rFonts w:ascii="Roboto" w:hAnsi="Roboto"/>
          <w:b/>
          <w:sz w:val="14"/>
          <w:szCs w:val="14"/>
        </w:rPr>
        <w:t>Art. 53 comma 14 D.</w:t>
      </w:r>
      <w:r w:rsidR="004452CB" w:rsidRPr="004F577B">
        <w:rPr>
          <w:rFonts w:ascii="Roboto" w:hAnsi="Roboto"/>
          <w:b/>
          <w:sz w:val="14"/>
          <w:szCs w:val="14"/>
        </w:rPr>
        <w:t xml:space="preserve"> Lgs.</w:t>
      </w:r>
      <w:r w:rsidRPr="004F577B">
        <w:rPr>
          <w:rFonts w:ascii="Roboto" w:hAnsi="Roboto"/>
          <w:b/>
          <w:sz w:val="14"/>
          <w:szCs w:val="14"/>
        </w:rPr>
        <w:t xml:space="preserve"> 165/2001 </w:t>
      </w:r>
      <w:r w:rsidR="000D3BAB" w:rsidRPr="004F577B">
        <w:rPr>
          <w:rFonts w:ascii="Roboto" w:hAnsi="Roboto"/>
          <w:b/>
          <w:sz w:val="14"/>
          <w:szCs w:val="14"/>
        </w:rPr>
        <w:t>e s.m.i</w:t>
      </w:r>
    </w:p>
    <w:p w14:paraId="5CC49447" w14:textId="77777777" w:rsidR="00E549D6" w:rsidRPr="004F577B" w:rsidRDefault="000D3BAB" w:rsidP="00165974">
      <w:pPr>
        <w:pStyle w:val="Testonotaapidipagina"/>
        <w:jc w:val="both"/>
        <w:rPr>
          <w:rFonts w:ascii="Roboto" w:hAnsi="Roboto"/>
          <w:sz w:val="14"/>
          <w:szCs w:val="14"/>
        </w:rPr>
      </w:pPr>
      <w:r w:rsidRPr="004F577B">
        <w:rPr>
          <w:rFonts w:ascii="Roboto" w:hAnsi="Roboto"/>
          <w:sz w:val="14"/>
          <w:szCs w:val="14"/>
        </w:rPr>
        <w:t>Al fine della verifica dell'applicazione delle norme di cui all'articolo 1, commi 123 e 127, della legge 23 dicembre 1996, n. 662, e successive modificazioni e integrazioni, le amministrazioni pubbliche sono tenute a comunicare al Dipartimento della funzione pubblica, in via telematica tempestivamente e comunque nei termini previsti dal decreto legislativo 14 marzo 2013, n. 33, i dati di cui agli articoli 15 e 18 del medesimo decreto legislativo n. 33 del 2013, relativi a tutti gli incarichi conferiti o</w:t>
      </w:r>
      <w:r w:rsidR="00165974" w:rsidRPr="004F577B">
        <w:rPr>
          <w:rFonts w:ascii="Roboto" w:hAnsi="Roboto"/>
          <w:sz w:val="14"/>
          <w:szCs w:val="14"/>
        </w:rPr>
        <w:t xml:space="preserve"> autorizzati a qualsiasi titolo</w:t>
      </w:r>
      <w:r w:rsidRPr="004F577B">
        <w:rPr>
          <w:rFonts w:ascii="Roboto" w:hAnsi="Roboto"/>
          <w:sz w:val="14"/>
          <w:szCs w:val="14"/>
        </w:rPr>
        <w:t xml:space="preserve">. Le amministrazioni rendono noti, mediante inserimento nelle proprie banche dati accessibili al pubblico per via telematica, gli elenchi dei propri consulenti indicando l'oggetto, la durata e il compenso dell'incarico </w:t>
      </w:r>
      <w:r w:rsidR="00165974" w:rsidRPr="004F577B">
        <w:rPr>
          <w:rFonts w:ascii="Roboto" w:hAnsi="Roboto"/>
          <w:b/>
          <w:sz w:val="14"/>
          <w:szCs w:val="14"/>
        </w:rPr>
        <w:t>nonché</w:t>
      </w:r>
      <w:r w:rsidRPr="004F577B">
        <w:rPr>
          <w:rFonts w:ascii="Roboto" w:hAnsi="Roboto"/>
          <w:b/>
          <w:sz w:val="14"/>
          <w:szCs w:val="14"/>
        </w:rPr>
        <w:t xml:space="preserve"> l'attestazione dell'avvenuta verifica dell'insussistenza di situazioni, anche potenziali, di conflitto di interessi</w:t>
      </w:r>
      <w:r w:rsidRPr="004F577B">
        <w:rPr>
          <w:rFonts w:ascii="Roboto" w:hAnsi="Roboto"/>
          <w:sz w:val="14"/>
          <w:szCs w:val="14"/>
        </w:rPr>
        <w:t>. Le informazioni relative a consulenze e incarichi comunicate dalle amministrazioni al Dipartimento della funzione pubblica, nonch</w:t>
      </w:r>
      <w:r w:rsidR="00165974" w:rsidRPr="004F577B">
        <w:rPr>
          <w:rFonts w:ascii="Roboto" w:hAnsi="Roboto"/>
          <w:sz w:val="14"/>
          <w:szCs w:val="14"/>
        </w:rPr>
        <w:t>é</w:t>
      </w:r>
      <w:r w:rsidRPr="004F577B">
        <w:rPr>
          <w:rFonts w:ascii="Roboto" w:hAnsi="Roboto"/>
          <w:sz w:val="14"/>
          <w:szCs w:val="14"/>
        </w:rPr>
        <w:t xml:space="preserve"> le informazioni pubblicate dalle stesse nelle proprie banche dati accessibili al pubblico per via telematica ai sensi del presente articolo, sono trasmesse e pubblicate in tabelle riassuntive rese liberamente scaricabili in un formato digitale standard aperto che consenta di 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r w:rsidR="00165974" w:rsidRPr="004F577B">
        <w:rPr>
          <w:rFonts w:ascii="Roboto" w:hAnsi="Roboto"/>
          <w:sz w:val="14"/>
          <w:szCs w:val="14"/>
        </w:rPr>
        <w:t>.</w:t>
      </w:r>
      <w:r w:rsidR="00E549D6" w:rsidRPr="004F577B">
        <w:rPr>
          <w:rFonts w:ascii="Roboto" w:hAnsi="Roboto"/>
          <w:sz w:val="14"/>
          <w:szCs w:val="14"/>
        </w:rPr>
        <w:t xml:space="preserve"> </w:t>
      </w:r>
    </w:p>
    <w:p w14:paraId="7C7946A6" w14:textId="77777777" w:rsidR="00E549D6" w:rsidRPr="004F577B" w:rsidRDefault="00E549D6" w:rsidP="00524B08">
      <w:pPr>
        <w:pStyle w:val="Testonotaapidipagina"/>
        <w:rPr>
          <w:rFonts w:ascii="Roboto" w:hAnsi="Roboto"/>
          <w:sz w:val="14"/>
          <w:szCs w:val="14"/>
        </w:rPr>
      </w:pPr>
    </w:p>
  </w:footnote>
  <w:footnote w:id="2">
    <w:p w14:paraId="53984CDC" w14:textId="77777777" w:rsidR="004F577B" w:rsidRPr="004F577B" w:rsidRDefault="004F577B" w:rsidP="004F577B">
      <w:pPr>
        <w:pStyle w:val="Testonotaapidipagina"/>
        <w:jc w:val="both"/>
        <w:rPr>
          <w:rFonts w:ascii="Roboto" w:hAnsi="Roboto"/>
          <w:sz w:val="14"/>
          <w:szCs w:val="14"/>
        </w:rPr>
      </w:pPr>
      <w:r w:rsidRPr="004F577B">
        <w:rPr>
          <w:rStyle w:val="Rimandonotaapidipagina"/>
          <w:rFonts w:ascii="Roboto" w:hAnsi="Roboto"/>
          <w:sz w:val="14"/>
          <w:szCs w:val="14"/>
        </w:rPr>
        <w:footnoteRef/>
      </w:r>
      <w:r w:rsidRPr="004F577B">
        <w:rPr>
          <w:rFonts w:ascii="Roboto" w:hAnsi="Roboto"/>
          <w:sz w:val="14"/>
          <w:szCs w:val="14"/>
        </w:rPr>
        <w:t xml:space="preserve"> </w:t>
      </w:r>
      <w:r w:rsidRPr="004F577B">
        <w:rPr>
          <w:rFonts w:ascii="Roboto" w:hAnsi="Roboto"/>
          <w:b/>
          <w:sz w:val="14"/>
          <w:szCs w:val="14"/>
        </w:rPr>
        <w:t>art.7, cc. 5-bis e 6 del D. Lgs. 165/2001e s.m.i.</w:t>
      </w:r>
      <w:r w:rsidRPr="004F577B">
        <w:rPr>
          <w:rFonts w:ascii="Roboto" w:hAnsi="Roboto"/>
          <w:sz w:val="14"/>
          <w:szCs w:val="14"/>
        </w:rPr>
        <w:t xml:space="preserve"> È fatto divieto alle amministrazioni pubbliche di stipulare contratti di collaborazione che si concretano in prestazioni di lavoro esclusivamente personali, continuative e le cui modalità di esecuzione siano organizzate dal committente anche con riferimento ai tempi e al luogo di lavoro. I contratti posti in essere in violazione del presente comma sono nulli e determinano responsabilità erariale. I dirigenti che operano in violazione delle disposizioni del presente comma sono, altresì, responsabili ai sensi dell'articolo 21 e ad essi non può essere erogata la retribuzione di risultato. Resta fermo che la disposizione di cui all'articolo 2, comma 1, del decreto legislativo 15 giugno 2015, n. 81, non si applica alle pubbliche amministrazioni.</w:t>
      </w:r>
    </w:p>
    <w:p w14:paraId="14C965D2" w14:textId="77777777" w:rsidR="004F577B" w:rsidRPr="004F577B" w:rsidRDefault="004F577B" w:rsidP="004F577B">
      <w:pPr>
        <w:pStyle w:val="Testonotaapidipagina"/>
        <w:jc w:val="both"/>
        <w:rPr>
          <w:rFonts w:ascii="Roboto" w:hAnsi="Roboto"/>
          <w:sz w:val="14"/>
          <w:szCs w:val="14"/>
        </w:rPr>
      </w:pPr>
      <w:r w:rsidRPr="004F577B">
        <w:rPr>
          <w:rFonts w:ascii="Roboto" w:hAnsi="Roboto"/>
          <w:sz w:val="14"/>
          <w:szCs w:val="14"/>
        </w:rPr>
        <w:t>6. Fermo restando quanto previsto dal comma 5-bis, per specifiche esigenze cui non possono far fronte con personale in servizio, le amministrazioni pubbliche possono conferire esclusivamente incarichi individuali, con contratti di lavoro autonomo, ad esperti di particolare e comprovata specializzazione anche universitaria, in presenza dei seguenti presupposti di legittimità:</w:t>
      </w:r>
    </w:p>
    <w:p w14:paraId="0D53F139" w14:textId="77777777" w:rsidR="004F577B" w:rsidRPr="004F577B" w:rsidRDefault="004F577B" w:rsidP="004F577B">
      <w:pPr>
        <w:pStyle w:val="Testonotaapidipagina"/>
        <w:jc w:val="both"/>
        <w:rPr>
          <w:rFonts w:ascii="Roboto" w:hAnsi="Roboto"/>
          <w:sz w:val="14"/>
          <w:szCs w:val="14"/>
        </w:rPr>
      </w:pPr>
      <w:r w:rsidRPr="004F577B">
        <w:rPr>
          <w:rFonts w:ascii="Roboto" w:hAnsi="Roboto"/>
          <w:sz w:val="14"/>
          <w:szCs w:val="14"/>
        </w:rPr>
        <w:t>a) l'oggetto della prestazione deve corrispondere alle competenze attribuite dall'ordinamento all'amministrazione conferente, ad obiettivi e progetti specifici e determinati e deve risultare coerente con le esigenze di funzionalità dell'amministrazione conferente;</w:t>
      </w:r>
    </w:p>
    <w:p w14:paraId="6859D991" w14:textId="77777777" w:rsidR="004F577B" w:rsidRPr="004F577B" w:rsidRDefault="004F577B" w:rsidP="004F577B">
      <w:pPr>
        <w:pStyle w:val="Testonotaapidipagina"/>
        <w:jc w:val="both"/>
        <w:rPr>
          <w:rFonts w:ascii="Roboto" w:hAnsi="Roboto"/>
          <w:sz w:val="14"/>
          <w:szCs w:val="14"/>
        </w:rPr>
      </w:pPr>
      <w:r w:rsidRPr="004F577B">
        <w:rPr>
          <w:rFonts w:ascii="Roboto" w:hAnsi="Roboto"/>
          <w:sz w:val="14"/>
          <w:szCs w:val="14"/>
        </w:rPr>
        <w:t>b) l'amministrazione deve avere preliminarmente accertato l'impossibilità oggettiva di utilizzare le risorse umane disponibili al suo interno;</w:t>
      </w:r>
    </w:p>
    <w:p w14:paraId="59FC82EA" w14:textId="77777777" w:rsidR="004F577B" w:rsidRPr="004F577B" w:rsidRDefault="004F577B" w:rsidP="004F577B">
      <w:pPr>
        <w:pStyle w:val="Testonotaapidipagina"/>
        <w:jc w:val="both"/>
        <w:rPr>
          <w:rFonts w:ascii="Roboto" w:hAnsi="Roboto"/>
          <w:sz w:val="14"/>
          <w:szCs w:val="14"/>
        </w:rPr>
      </w:pPr>
      <w:r w:rsidRPr="004F577B">
        <w:rPr>
          <w:rFonts w:ascii="Roboto" w:hAnsi="Roboto"/>
          <w:sz w:val="14"/>
          <w:szCs w:val="14"/>
        </w:rPr>
        <w:t>c) la prestazione deve essere di natura temporanea e altamente qualificata; non è ammesso il rinnovo; l'eventuale proroga dell'incarico originario è consentita, in via eccezionale, al solo fine di completare il progetto e per ritardi non imputabili al collaboratore, ferma restando la misura del compenso pattuito in sede di affidamento dell'incarico;</w:t>
      </w:r>
    </w:p>
    <w:p w14:paraId="473732C9" w14:textId="77777777" w:rsidR="004F577B" w:rsidRPr="004F577B" w:rsidRDefault="004F577B" w:rsidP="004F577B">
      <w:pPr>
        <w:pStyle w:val="Testonotaapidipagina"/>
        <w:jc w:val="both"/>
        <w:rPr>
          <w:rFonts w:ascii="Roboto" w:hAnsi="Roboto"/>
          <w:sz w:val="14"/>
          <w:szCs w:val="14"/>
        </w:rPr>
      </w:pPr>
      <w:r w:rsidRPr="004F577B">
        <w:rPr>
          <w:rFonts w:ascii="Roboto" w:hAnsi="Roboto"/>
          <w:sz w:val="14"/>
          <w:szCs w:val="14"/>
        </w:rPr>
        <w:t>d) devono essere preventivamente determinati durata, oggetto e compenso della collaborazione. Si prescinde dal requisito della comprovata specializzazione universitaria in caso di stipulazione di contratti di collaborazione per attività che debbano essere svolte da professionisti iscritti in ordini o albi o con soggetti che operino nel campo dell'arte, dello spettacolo, dei mestieri artigianali o dell'attività informatica nonché a supporto dell'attività didattica e di ricerca, per i servizi di orientamento, compreso il collocamento, e di certificazione dei contratti di lavoro di cui al decreto legislativo 10 settembre 2003, n. 276, purché senza nuovi o maggiori oneri a carico della finanza pubblica, ferma restando la necessità di accertare la maturata esperienza nel settore. Il ricorso ai contratti di cui al presente comma per lo svolgimento di funzioni ordinarie o l'utilizzo dei soggetti incaricati ai sensi del medesimo comma come lavoratori subordinati è causa di responsabilità amministrativa per il dirigente che ha stipulato i contratti. Il secondo periodo dell'articolo 1, comma 9, del decreto-legge 12 luglio 2004, n. 168, convertito, con modificazioni, dalla legge 30 luglio 2004, n. 191, è soppresso. Si applicano le disposizioni previste dall'articolo 36, comma 3, del presente decreto e, in caso di violazione delle disposizioni di cui al presente comma, fermo restando il divieto di costituzione di rapporti di lavoro a tempo indeterminato, si applica quanto previsto dal citato articolo 36, comma 5-quater</w:t>
      </w:r>
    </w:p>
    <w:p w14:paraId="2BA41273" w14:textId="77777777" w:rsidR="004F577B" w:rsidRDefault="004F577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99C7" w14:textId="77777777" w:rsidR="00930C72" w:rsidRPr="00930C72" w:rsidRDefault="00930C72">
    <w:pPr>
      <w:pStyle w:val="Intestazione"/>
      <w:rPr>
        <w:rFonts w:asciiTheme="majorHAnsi" w:hAnsiTheme="majorHAnsi"/>
        <w:sz w:val="20"/>
        <w:szCs w:val="20"/>
      </w:rPr>
    </w:pPr>
    <w:r w:rsidRPr="00930C72">
      <w:rPr>
        <w:rFonts w:asciiTheme="majorHAnsi" w:hAnsiTheme="majorHAnsi"/>
        <w:sz w:val="20"/>
        <w:szCs w:val="20"/>
      </w:rPr>
      <w:t>Mod. B collaboratori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67C"/>
    <w:multiLevelType w:val="multilevel"/>
    <w:tmpl w:val="C39E3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171B58"/>
    <w:multiLevelType w:val="hybridMultilevel"/>
    <w:tmpl w:val="87F4F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6F16907"/>
    <w:multiLevelType w:val="hybridMultilevel"/>
    <w:tmpl w:val="9C59E2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01B0003"/>
    <w:multiLevelType w:val="hybridMultilevel"/>
    <w:tmpl w:val="32F6500E"/>
    <w:lvl w:ilvl="0" w:tplc="8C5E6C3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9F2E98"/>
    <w:multiLevelType w:val="multilevel"/>
    <w:tmpl w:val="32F650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37245053">
    <w:abstractNumId w:val="3"/>
  </w:num>
  <w:num w:numId="2" w16cid:durableId="497700100">
    <w:abstractNumId w:val="2"/>
  </w:num>
  <w:num w:numId="3" w16cid:durableId="1133668635">
    <w:abstractNumId w:val="4"/>
  </w:num>
  <w:num w:numId="4" w16cid:durableId="1232886515">
    <w:abstractNumId w:val="1"/>
  </w:num>
  <w:num w:numId="5" w16cid:durableId="90264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0F6"/>
    <w:rsid w:val="00070BF3"/>
    <w:rsid w:val="000912F7"/>
    <w:rsid w:val="000B6102"/>
    <w:rsid w:val="000D3BAB"/>
    <w:rsid w:val="001621DE"/>
    <w:rsid w:val="0016344D"/>
    <w:rsid w:val="00165974"/>
    <w:rsid w:val="001B6F2C"/>
    <w:rsid w:val="00240EB4"/>
    <w:rsid w:val="00264788"/>
    <w:rsid w:val="002A1D99"/>
    <w:rsid w:val="002A2840"/>
    <w:rsid w:val="002A3349"/>
    <w:rsid w:val="002F51AF"/>
    <w:rsid w:val="0032789A"/>
    <w:rsid w:val="00400F4D"/>
    <w:rsid w:val="0040117B"/>
    <w:rsid w:val="004452CB"/>
    <w:rsid w:val="004509B0"/>
    <w:rsid w:val="0047435C"/>
    <w:rsid w:val="00484CC7"/>
    <w:rsid w:val="004F06FA"/>
    <w:rsid w:val="004F577B"/>
    <w:rsid w:val="00524B08"/>
    <w:rsid w:val="0057068C"/>
    <w:rsid w:val="00620897"/>
    <w:rsid w:val="0063189B"/>
    <w:rsid w:val="007070F6"/>
    <w:rsid w:val="00772C5F"/>
    <w:rsid w:val="007E6481"/>
    <w:rsid w:val="00852E67"/>
    <w:rsid w:val="0087304B"/>
    <w:rsid w:val="00930C72"/>
    <w:rsid w:val="009676FE"/>
    <w:rsid w:val="009D4C54"/>
    <w:rsid w:val="00A0639F"/>
    <w:rsid w:val="00A545DD"/>
    <w:rsid w:val="00A63DF6"/>
    <w:rsid w:val="00AE6F0D"/>
    <w:rsid w:val="00B80A71"/>
    <w:rsid w:val="00BB0DA9"/>
    <w:rsid w:val="00BD65D4"/>
    <w:rsid w:val="00BE2DDB"/>
    <w:rsid w:val="00BE67D6"/>
    <w:rsid w:val="00C51453"/>
    <w:rsid w:val="00C64E91"/>
    <w:rsid w:val="00CA5E19"/>
    <w:rsid w:val="00CA66ED"/>
    <w:rsid w:val="00CB2EED"/>
    <w:rsid w:val="00CE3FF6"/>
    <w:rsid w:val="00D57030"/>
    <w:rsid w:val="00D647A1"/>
    <w:rsid w:val="00DC7444"/>
    <w:rsid w:val="00DF4CFD"/>
    <w:rsid w:val="00DF7497"/>
    <w:rsid w:val="00E549D6"/>
    <w:rsid w:val="00E57561"/>
    <w:rsid w:val="00E62668"/>
    <w:rsid w:val="00E950D7"/>
    <w:rsid w:val="00EA3BFB"/>
    <w:rsid w:val="00F621DF"/>
    <w:rsid w:val="00F631EF"/>
    <w:rsid w:val="00F758F9"/>
    <w:rsid w:val="00F83884"/>
    <w:rsid w:val="00FC0337"/>
    <w:rsid w:val="00FC461E"/>
    <w:rsid w:val="00FF24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92D7E"/>
  <w15:docId w15:val="{9897A20A-4671-4399-A20D-46EF1098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B6102"/>
    <w:rPr>
      <w:sz w:val="24"/>
      <w:szCs w:val="24"/>
    </w:rPr>
  </w:style>
  <w:style w:type="paragraph" w:styleId="Titolo2">
    <w:name w:val="heading 2"/>
    <w:basedOn w:val="Default"/>
    <w:next w:val="Default"/>
    <w:qFormat/>
    <w:rsid w:val="0063189B"/>
    <w:pPr>
      <w:outlineLvl w:val="1"/>
    </w:pPr>
    <w:rPr>
      <w:rFonts w:cs="Times New Roman"/>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C51453"/>
    <w:pPr>
      <w:tabs>
        <w:tab w:val="center" w:pos="4819"/>
        <w:tab w:val="right" w:pos="9638"/>
      </w:tabs>
    </w:pPr>
  </w:style>
  <w:style w:type="character" w:styleId="Numeropagina">
    <w:name w:val="page number"/>
    <w:basedOn w:val="Carpredefinitoparagrafo"/>
    <w:rsid w:val="00C51453"/>
  </w:style>
  <w:style w:type="paragraph" w:styleId="Testonotaapidipagina">
    <w:name w:val="footnote text"/>
    <w:basedOn w:val="Normale"/>
    <w:semiHidden/>
    <w:rsid w:val="00C51453"/>
    <w:rPr>
      <w:sz w:val="20"/>
      <w:szCs w:val="20"/>
    </w:rPr>
  </w:style>
  <w:style w:type="character" w:styleId="Rimandonotaapidipagina">
    <w:name w:val="footnote reference"/>
    <w:semiHidden/>
    <w:rsid w:val="00C51453"/>
    <w:rPr>
      <w:vertAlign w:val="superscript"/>
    </w:rPr>
  </w:style>
  <w:style w:type="paragraph" w:customStyle="1" w:styleId="Default">
    <w:name w:val="Default"/>
    <w:rsid w:val="0063189B"/>
    <w:pPr>
      <w:autoSpaceDE w:val="0"/>
      <w:autoSpaceDN w:val="0"/>
      <w:adjustRightInd w:val="0"/>
    </w:pPr>
    <w:rPr>
      <w:rFonts w:ascii="Garamond" w:hAnsi="Garamond" w:cs="Garamond"/>
      <w:color w:val="000000"/>
      <w:sz w:val="24"/>
      <w:szCs w:val="24"/>
    </w:rPr>
  </w:style>
  <w:style w:type="character" w:customStyle="1" w:styleId="apple-converted-space">
    <w:name w:val="apple-converted-space"/>
    <w:basedOn w:val="Carpredefinitoparagrafo"/>
    <w:rsid w:val="00A545DD"/>
  </w:style>
  <w:style w:type="paragraph" w:styleId="Intestazione">
    <w:name w:val="header"/>
    <w:basedOn w:val="Normale"/>
    <w:link w:val="IntestazioneCarattere"/>
    <w:rsid w:val="00930C72"/>
    <w:pPr>
      <w:tabs>
        <w:tab w:val="center" w:pos="4819"/>
        <w:tab w:val="right" w:pos="9638"/>
      </w:tabs>
    </w:pPr>
  </w:style>
  <w:style w:type="character" w:customStyle="1" w:styleId="IntestazioneCarattere">
    <w:name w:val="Intestazione Carattere"/>
    <w:basedOn w:val="Carpredefinitoparagrafo"/>
    <w:link w:val="Intestazione"/>
    <w:rsid w:val="00930C72"/>
    <w:rPr>
      <w:sz w:val="24"/>
      <w:szCs w:val="24"/>
    </w:rPr>
  </w:style>
  <w:style w:type="character" w:styleId="Collegamentoipertestuale">
    <w:name w:val="Hyperlink"/>
    <w:basedOn w:val="Carpredefinitoparagrafo"/>
    <w:unhideWhenUsed/>
    <w:rsid w:val="004F57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054375">
      <w:bodyDiv w:val="1"/>
      <w:marLeft w:val="0"/>
      <w:marRight w:val="0"/>
      <w:marTop w:val="0"/>
      <w:marBottom w:val="0"/>
      <w:divBdr>
        <w:top w:val="none" w:sz="0" w:space="0" w:color="auto"/>
        <w:left w:val="none" w:sz="0" w:space="0" w:color="auto"/>
        <w:bottom w:val="none" w:sz="0" w:space="0" w:color="auto"/>
        <w:right w:val="none" w:sz="0" w:space="0" w:color="auto"/>
      </w:divBdr>
    </w:div>
    <w:div w:id="85951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152</Words>
  <Characters>868</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Pavia</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Personale</dc:creator>
  <cp:lastModifiedBy>PIAZZON MARA</cp:lastModifiedBy>
  <cp:revision>8</cp:revision>
  <dcterms:created xsi:type="dcterms:W3CDTF">2021-03-12T14:56:00Z</dcterms:created>
  <dcterms:modified xsi:type="dcterms:W3CDTF">2023-11-17T13:32:00Z</dcterms:modified>
</cp:coreProperties>
</file>