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7A284" w14:textId="0BA14406" w:rsidR="00910B46" w:rsidRDefault="0074664B" w:rsidP="0074664B">
      <w:pPr>
        <w:ind w:right="849"/>
        <w:jc w:val="both"/>
        <w:rPr>
          <w:rFonts w:ascii="Roboto Slab" w:hAnsi="Roboto Slab"/>
          <w:sz w:val="20"/>
          <w:szCs w:val="20"/>
        </w:rPr>
      </w:pPr>
      <w:r w:rsidRPr="0074664B">
        <w:rPr>
          <w:rFonts w:ascii="Roboto Slab" w:hAnsi="Roboto Slab"/>
          <w:sz w:val="20"/>
          <w:szCs w:val="20"/>
        </w:rPr>
        <w:t xml:space="preserve">          </w:t>
      </w:r>
      <w:r w:rsidR="00910B46">
        <w:rPr>
          <w:rFonts w:ascii="Roboto Slab" w:hAnsi="Roboto Slab"/>
          <w:sz w:val="20"/>
          <w:szCs w:val="20"/>
        </w:rPr>
        <w:t xml:space="preserve">                           </w:t>
      </w:r>
    </w:p>
    <w:p w14:paraId="3ED4DFF3" w14:textId="7B99A178" w:rsidR="0074664B" w:rsidRPr="00910B46" w:rsidRDefault="008446F2" w:rsidP="0074664B">
      <w:pPr>
        <w:ind w:right="849"/>
        <w:jc w:val="both"/>
        <w:rPr>
          <w:rFonts w:ascii="Roboto Slab" w:hAnsi="Roboto Slab"/>
          <w:sz w:val="20"/>
          <w:szCs w:val="20"/>
        </w:rPr>
      </w:pPr>
      <w:r>
        <w:rPr>
          <w:rFonts w:ascii="Roboto Slab" w:hAnsi="Roboto Slab" w:cs="Tahoma"/>
          <w:b/>
          <w:sz w:val="20"/>
          <w:szCs w:val="20"/>
        </w:rPr>
        <w:t xml:space="preserve">OGGETTO: </w:t>
      </w:r>
      <w:r w:rsidR="009E6B20">
        <w:rPr>
          <w:rFonts w:ascii="Roboto Slab" w:hAnsi="Roboto Slab" w:cs="Tahoma"/>
          <w:b/>
          <w:sz w:val="20"/>
          <w:szCs w:val="20"/>
        </w:rPr>
        <w:t>Sulla legittimità dei compensi ai componenti delle commissioni esaminatrici</w:t>
      </w:r>
    </w:p>
    <w:p w14:paraId="2B1FD836" w14:textId="77777777" w:rsidR="0074664B" w:rsidRPr="0074664B" w:rsidRDefault="0074664B" w:rsidP="0074664B">
      <w:pPr>
        <w:ind w:right="849"/>
        <w:jc w:val="both"/>
        <w:rPr>
          <w:rFonts w:ascii="Roboto Slab" w:hAnsi="Roboto Slab" w:cs="Tahoma"/>
          <w:sz w:val="20"/>
          <w:szCs w:val="20"/>
        </w:rPr>
      </w:pPr>
    </w:p>
    <w:p w14:paraId="5ED173F4" w14:textId="7CA93E57" w:rsidR="0079392F" w:rsidRDefault="00EA4A15" w:rsidP="0079392F">
      <w:pPr>
        <w:ind w:right="849"/>
        <w:jc w:val="both"/>
        <w:rPr>
          <w:rFonts w:ascii="Roboto Slab" w:hAnsi="Roboto Slab" w:cs="Tahoma"/>
          <w:sz w:val="20"/>
          <w:szCs w:val="20"/>
        </w:rPr>
      </w:pPr>
      <w:r>
        <w:rPr>
          <w:rFonts w:ascii="Roboto Slab" w:hAnsi="Roboto Slab" w:cs="Tahoma"/>
          <w:sz w:val="20"/>
          <w:szCs w:val="20"/>
        </w:rPr>
        <w:t>I</w:t>
      </w:r>
      <w:r w:rsidR="00AE51D1">
        <w:rPr>
          <w:rFonts w:ascii="Roboto Slab" w:hAnsi="Roboto Slab" w:cs="Tahoma"/>
          <w:sz w:val="20"/>
          <w:szCs w:val="20"/>
        </w:rPr>
        <w:t xml:space="preserve">n merito alla legittimità del riconoscimento dei compensi ai componenti delle commissioni esaminatrici esterni od appartenenti ai ruoli dell’Ateneo, </w:t>
      </w:r>
      <w:r>
        <w:rPr>
          <w:rFonts w:ascii="Roboto Slab" w:hAnsi="Roboto Slab" w:cs="Tahoma"/>
          <w:sz w:val="20"/>
          <w:szCs w:val="20"/>
        </w:rPr>
        <w:t>di qualifica dirigenziale e non, si osserva quanto segue</w:t>
      </w:r>
    </w:p>
    <w:p w14:paraId="1C7A9654" w14:textId="77777777" w:rsidR="00AE51D1" w:rsidRDefault="00AE51D1" w:rsidP="0079392F">
      <w:pPr>
        <w:ind w:right="849"/>
        <w:jc w:val="both"/>
        <w:rPr>
          <w:rFonts w:ascii="Roboto Slab" w:hAnsi="Roboto Slab" w:cs="Tahoma"/>
          <w:sz w:val="20"/>
          <w:szCs w:val="20"/>
        </w:rPr>
      </w:pPr>
    </w:p>
    <w:p w14:paraId="7D35D5EC" w14:textId="240F224E" w:rsidR="00AE51D1" w:rsidRDefault="00AE51D1" w:rsidP="0079392F">
      <w:pPr>
        <w:ind w:right="849"/>
        <w:jc w:val="both"/>
        <w:rPr>
          <w:rFonts w:ascii="Roboto Slab" w:hAnsi="Roboto Slab" w:cs="Tahoma"/>
          <w:sz w:val="20"/>
          <w:szCs w:val="20"/>
        </w:rPr>
      </w:pPr>
      <w:r>
        <w:rPr>
          <w:rFonts w:ascii="Roboto Slab" w:hAnsi="Roboto Slab" w:cs="Tahoma"/>
          <w:sz w:val="20"/>
          <w:szCs w:val="20"/>
        </w:rPr>
        <w:t>Il quadro normativo di riferiment</w:t>
      </w:r>
      <w:r w:rsidR="00EA4A15">
        <w:rPr>
          <w:rFonts w:ascii="Roboto Slab" w:hAnsi="Roboto Slab" w:cs="Tahoma"/>
          <w:sz w:val="20"/>
          <w:szCs w:val="20"/>
        </w:rPr>
        <w:t>o</w:t>
      </w:r>
      <w:r>
        <w:rPr>
          <w:rFonts w:ascii="Roboto Slab" w:hAnsi="Roboto Slab" w:cs="Tahoma"/>
          <w:sz w:val="20"/>
          <w:szCs w:val="20"/>
        </w:rPr>
        <w:t xml:space="preserve"> riposa nelle seguenti disposizioni:</w:t>
      </w:r>
    </w:p>
    <w:p w14:paraId="155CB9D8" w14:textId="77777777" w:rsidR="00AE51D1" w:rsidRDefault="00AE51D1" w:rsidP="0079392F">
      <w:pPr>
        <w:ind w:right="849"/>
        <w:jc w:val="both"/>
        <w:rPr>
          <w:rFonts w:ascii="Roboto Slab" w:hAnsi="Roboto Slab" w:cs="Tahoma"/>
          <w:sz w:val="20"/>
          <w:szCs w:val="20"/>
        </w:rPr>
      </w:pPr>
    </w:p>
    <w:p w14:paraId="6EFC669D" w14:textId="5EC495F1" w:rsidR="00AE51D1" w:rsidRDefault="00AE51D1" w:rsidP="00AE51D1">
      <w:pPr>
        <w:pStyle w:val="Paragrafoelenco"/>
        <w:numPr>
          <w:ilvl w:val="0"/>
          <w:numId w:val="2"/>
        </w:numPr>
        <w:ind w:right="849"/>
        <w:jc w:val="both"/>
        <w:rPr>
          <w:rFonts w:ascii="Roboto Slab" w:hAnsi="Roboto Slab" w:cs="Tahoma"/>
          <w:sz w:val="20"/>
          <w:szCs w:val="20"/>
        </w:rPr>
      </w:pPr>
      <w:r w:rsidRPr="00EA4A15">
        <w:rPr>
          <w:rFonts w:ascii="Roboto Slab" w:hAnsi="Roboto Slab" w:cs="Tahoma"/>
          <w:b/>
          <w:sz w:val="20"/>
          <w:szCs w:val="20"/>
        </w:rPr>
        <w:t xml:space="preserve">Art. 18 del </w:t>
      </w:r>
      <w:proofErr w:type="spellStart"/>
      <w:r w:rsidRPr="00EA4A15">
        <w:rPr>
          <w:rFonts w:ascii="Roboto Slab" w:hAnsi="Roboto Slab" w:cs="Tahoma"/>
          <w:b/>
          <w:sz w:val="20"/>
          <w:szCs w:val="20"/>
        </w:rPr>
        <w:t>d.P.R.</w:t>
      </w:r>
      <w:proofErr w:type="spellEnd"/>
      <w:r w:rsidRPr="00EA4A15">
        <w:rPr>
          <w:rFonts w:ascii="Roboto Slab" w:hAnsi="Roboto Slab" w:cs="Tahoma"/>
          <w:b/>
          <w:sz w:val="20"/>
          <w:szCs w:val="20"/>
        </w:rPr>
        <w:t xml:space="preserve"> n. 487/1994</w:t>
      </w:r>
      <w:r>
        <w:rPr>
          <w:rFonts w:ascii="Roboto Slab" w:hAnsi="Roboto Slab" w:cs="Tahoma"/>
          <w:sz w:val="20"/>
          <w:szCs w:val="20"/>
        </w:rPr>
        <w:t>, che rinvia a un successivo D.P.C.M. per le determinazione dei compensi da corrispondere ai membri delle commissioni esaminatrici;</w:t>
      </w:r>
    </w:p>
    <w:p w14:paraId="46344840" w14:textId="7B67B700" w:rsidR="00AE51D1" w:rsidRDefault="00340CDE" w:rsidP="00AE51D1">
      <w:pPr>
        <w:pStyle w:val="Paragrafoelenco"/>
        <w:numPr>
          <w:ilvl w:val="0"/>
          <w:numId w:val="2"/>
        </w:numPr>
        <w:ind w:right="849"/>
        <w:jc w:val="both"/>
        <w:rPr>
          <w:rFonts w:ascii="Roboto Slab" w:hAnsi="Roboto Slab" w:cs="Tahoma"/>
          <w:sz w:val="20"/>
          <w:szCs w:val="20"/>
        </w:rPr>
      </w:pPr>
      <w:r w:rsidRPr="00EA4A15">
        <w:rPr>
          <w:rFonts w:ascii="Roboto Slab" w:hAnsi="Roboto Slab" w:cs="Tahoma"/>
          <w:b/>
          <w:sz w:val="20"/>
          <w:szCs w:val="20"/>
        </w:rPr>
        <w:t>D.P.C.M. 23.3.1995</w:t>
      </w:r>
      <w:r>
        <w:rPr>
          <w:rFonts w:ascii="Roboto Slab" w:hAnsi="Roboto Slab" w:cs="Tahoma"/>
          <w:sz w:val="20"/>
          <w:szCs w:val="20"/>
        </w:rPr>
        <w:t>, che dà</w:t>
      </w:r>
      <w:r w:rsidR="00AE51D1">
        <w:rPr>
          <w:rFonts w:ascii="Roboto Slab" w:hAnsi="Roboto Slab" w:cs="Tahoma"/>
          <w:sz w:val="20"/>
          <w:szCs w:val="20"/>
        </w:rPr>
        <w:t xml:space="preserve"> attuazione al </w:t>
      </w:r>
      <w:proofErr w:type="spellStart"/>
      <w:r w:rsidR="00AE51D1">
        <w:rPr>
          <w:rFonts w:ascii="Roboto Slab" w:hAnsi="Roboto Slab" w:cs="Tahoma"/>
          <w:sz w:val="20"/>
          <w:szCs w:val="20"/>
        </w:rPr>
        <w:t>d.P.R.</w:t>
      </w:r>
      <w:proofErr w:type="spellEnd"/>
      <w:r w:rsidR="00AE51D1">
        <w:rPr>
          <w:rFonts w:ascii="Roboto Slab" w:hAnsi="Roboto Slab" w:cs="Tahoma"/>
          <w:sz w:val="20"/>
          <w:szCs w:val="20"/>
        </w:rPr>
        <w:t xml:space="preserve"> n. 487/1994, determinando i compensi senza porre distinzioni tra personale dipendente dell’ente che indice la procedura di selezione e personale appartenente ai ruoli di altra amministrazione;</w:t>
      </w:r>
    </w:p>
    <w:p w14:paraId="7DA5994C" w14:textId="592CFF47" w:rsidR="00AE51D1" w:rsidRDefault="00AE51D1" w:rsidP="00AE51D1">
      <w:pPr>
        <w:pStyle w:val="Paragrafoelenco"/>
        <w:numPr>
          <w:ilvl w:val="0"/>
          <w:numId w:val="2"/>
        </w:numPr>
        <w:ind w:right="849"/>
        <w:jc w:val="both"/>
        <w:rPr>
          <w:rFonts w:ascii="Roboto Slab" w:hAnsi="Roboto Slab" w:cs="Tahoma"/>
          <w:sz w:val="20"/>
          <w:szCs w:val="20"/>
        </w:rPr>
      </w:pPr>
      <w:r w:rsidRPr="00EA4A15">
        <w:rPr>
          <w:rFonts w:ascii="Roboto Slab" w:hAnsi="Roboto Slab" w:cs="Tahoma"/>
          <w:b/>
          <w:sz w:val="20"/>
          <w:szCs w:val="20"/>
        </w:rPr>
        <w:t>Art. 24, comma 3°, del D.lgs. n. 165/2001</w:t>
      </w:r>
      <w:r>
        <w:rPr>
          <w:rFonts w:ascii="Roboto Slab" w:hAnsi="Roboto Slab" w:cs="Tahoma"/>
          <w:sz w:val="20"/>
          <w:szCs w:val="20"/>
        </w:rPr>
        <w:t xml:space="preserve">, che, limitatamente al personale dirigente, pone il principio di </w:t>
      </w:r>
      <w:proofErr w:type="spellStart"/>
      <w:r>
        <w:rPr>
          <w:rFonts w:ascii="Roboto Slab" w:hAnsi="Roboto Slab" w:cs="Tahoma"/>
          <w:sz w:val="20"/>
          <w:szCs w:val="20"/>
        </w:rPr>
        <w:t>omnicomprensività</w:t>
      </w:r>
      <w:proofErr w:type="spellEnd"/>
      <w:r>
        <w:rPr>
          <w:rFonts w:ascii="Roboto Slab" w:hAnsi="Roboto Slab" w:cs="Tahoma"/>
          <w:sz w:val="20"/>
          <w:szCs w:val="20"/>
        </w:rPr>
        <w:t xml:space="preserve"> della retribuzione</w:t>
      </w:r>
      <w:r w:rsidR="005C3E57">
        <w:rPr>
          <w:rFonts w:ascii="Roboto Slab" w:hAnsi="Roboto Slab" w:cs="Tahoma"/>
          <w:sz w:val="20"/>
          <w:szCs w:val="20"/>
        </w:rPr>
        <w:t xml:space="preserve"> relativamente ad ogni incarico conferito in ragione del proprio ufficio o conferito dall’amministrazione di appartenenza o su designazione della stessa;</w:t>
      </w:r>
    </w:p>
    <w:p w14:paraId="58B95634" w14:textId="6CC7390A" w:rsidR="005C3E57" w:rsidRDefault="005C3E57" w:rsidP="00AE51D1">
      <w:pPr>
        <w:pStyle w:val="Paragrafoelenco"/>
        <w:numPr>
          <w:ilvl w:val="0"/>
          <w:numId w:val="2"/>
        </w:numPr>
        <w:ind w:right="849"/>
        <w:jc w:val="both"/>
        <w:rPr>
          <w:rFonts w:ascii="Roboto Slab" w:hAnsi="Roboto Slab" w:cs="Tahoma"/>
          <w:sz w:val="20"/>
          <w:szCs w:val="20"/>
        </w:rPr>
      </w:pPr>
      <w:r w:rsidRPr="00EA4A15">
        <w:rPr>
          <w:rFonts w:ascii="Roboto Slab" w:hAnsi="Roboto Slab" w:cs="Tahoma"/>
          <w:b/>
          <w:sz w:val="20"/>
          <w:szCs w:val="20"/>
        </w:rPr>
        <w:t xml:space="preserve">Art. 35, comma 3°, del </w:t>
      </w:r>
      <w:proofErr w:type="spellStart"/>
      <w:r w:rsidRPr="00EA4A15">
        <w:rPr>
          <w:rFonts w:ascii="Roboto Slab" w:hAnsi="Roboto Slab" w:cs="Tahoma"/>
          <w:b/>
          <w:sz w:val="20"/>
          <w:szCs w:val="20"/>
        </w:rPr>
        <w:t>D.lgs</w:t>
      </w:r>
      <w:proofErr w:type="spellEnd"/>
      <w:r w:rsidRPr="00EA4A15">
        <w:rPr>
          <w:rFonts w:ascii="Roboto Slab" w:hAnsi="Roboto Slab" w:cs="Tahoma"/>
          <w:b/>
          <w:sz w:val="20"/>
          <w:szCs w:val="20"/>
        </w:rPr>
        <w:t xml:space="preserve"> n. 165/2001</w:t>
      </w:r>
      <w:r>
        <w:rPr>
          <w:rFonts w:ascii="Roboto Slab" w:hAnsi="Roboto Slab" w:cs="Tahoma"/>
          <w:sz w:val="20"/>
          <w:szCs w:val="20"/>
        </w:rPr>
        <w:t>, che dispone in merito ai requisiti di composizione delle commissioni esaminatrici;</w:t>
      </w:r>
    </w:p>
    <w:p w14:paraId="2E4A2055" w14:textId="2B478405" w:rsidR="005C3E57" w:rsidRDefault="005C3E57" w:rsidP="00AE51D1">
      <w:pPr>
        <w:pStyle w:val="Paragrafoelenco"/>
        <w:numPr>
          <w:ilvl w:val="0"/>
          <w:numId w:val="2"/>
        </w:numPr>
        <w:ind w:right="849"/>
        <w:jc w:val="both"/>
        <w:rPr>
          <w:rFonts w:ascii="Roboto Slab" w:hAnsi="Roboto Slab" w:cs="Tahoma"/>
          <w:sz w:val="20"/>
          <w:szCs w:val="20"/>
        </w:rPr>
      </w:pPr>
      <w:r w:rsidRPr="00EA4A15">
        <w:rPr>
          <w:rFonts w:ascii="Roboto Slab" w:hAnsi="Roboto Slab" w:cs="Tahoma"/>
          <w:b/>
          <w:sz w:val="20"/>
          <w:szCs w:val="20"/>
        </w:rPr>
        <w:t>Art. 3, commi 12, 13 e 14 della Legge n. 56/2019</w:t>
      </w:r>
      <w:r>
        <w:rPr>
          <w:rFonts w:ascii="Roboto Slab" w:hAnsi="Roboto Slab" w:cs="Tahoma"/>
          <w:sz w:val="20"/>
          <w:szCs w:val="20"/>
        </w:rPr>
        <w:t xml:space="preserve"> che, da un lato, sancisce il principio per cui gli incarichi di presidente, membro e segretario di una commissione di un concorso pubblico</w:t>
      </w:r>
      <w:r w:rsidR="00B43AC0">
        <w:rPr>
          <w:rFonts w:ascii="Roboto Slab" w:hAnsi="Roboto Slab" w:cs="Tahoma"/>
          <w:sz w:val="20"/>
          <w:szCs w:val="20"/>
        </w:rPr>
        <w:t>, anche se banditi da amministrazione diversa da quella di appartenenza</w:t>
      </w:r>
      <w:r w:rsidR="00D06D47">
        <w:rPr>
          <w:rFonts w:ascii="Roboto Slab" w:hAnsi="Roboto Slab" w:cs="Tahoma"/>
          <w:sz w:val="20"/>
          <w:szCs w:val="20"/>
        </w:rPr>
        <w:t xml:space="preserve">, </w:t>
      </w:r>
      <w:r w:rsidR="00D06D47" w:rsidRPr="00D06D47">
        <w:rPr>
          <w:rFonts w:ascii="Roboto Slab" w:hAnsi="Roboto Slab" w:cs="Tahoma"/>
          <w:i/>
          <w:sz w:val="20"/>
          <w:szCs w:val="20"/>
        </w:rPr>
        <w:t>si considerano ad ogni effetto di legge conferiti in ragione dell’ufficio ricoperto dal dipendente pubblico o comunque conferiti dall’amministrazione presso cui presta servizio o su designazione della stessa</w:t>
      </w:r>
      <w:r w:rsidR="00D06D47">
        <w:rPr>
          <w:rFonts w:ascii="Roboto Slab" w:hAnsi="Roboto Slab" w:cs="Tahoma"/>
          <w:sz w:val="20"/>
          <w:szCs w:val="20"/>
        </w:rPr>
        <w:t>; da un altro lato rinvia ad un successivo D.P.C.M. per l’aggiornamento dei compensi; infine pone una deroga espressa all’art. 24 del D.lgs. n. 165/2001, laddove prevede che la disciplina del citato articolo non si applica ai compensi dovuti ai dirigenti componenti delle commissioni esaminatrici.</w:t>
      </w:r>
    </w:p>
    <w:p w14:paraId="71A08184" w14:textId="77777777" w:rsidR="00D06D47" w:rsidRDefault="00D06D47" w:rsidP="00D06D47">
      <w:pPr>
        <w:ind w:left="360" w:right="849"/>
        <w:jc w:val="both"/>
        <w:rPr>
          <w:rFonts w:ascii="Roboto Slab" w:hAnsi="Roboto Slab" w:cs="Tahoma"/>
          <w:sz w:val="20"/>
          <w:szCs w:val="20"/>
        </w:rPr>
      </w:pPr>
    </w:p>
    <w:p w14:paraId="4CBFC4A1" w14:textId="0BC55030" w:rsidR="00D06D47" w:rsidRDefault="00D06D47" w:rsidP="00D06D47">
      <w:pPr>
        <w:ind w:right="849"/>
        <w:jc w:val="both"/>
        <w:rPr>
          <w:rFonts w:ascii="Roboto Slab" w:hAnsi="Roboto Slab" w:cs="Tahoma"/>
          <w:sz w:val="20"/>
          <w:szCs w:val="20"/>
        </w:rPr>
      </w:pPr>
      <w:r>
        <w:rPr>
          <w:rFonts w:ascii="Roboto Slab" w:hAnsi="Roboto Slab" w:cs="Tahoma"/>
          <w:sz w:val="20"/>
          <w:szCs w:val="20"/>
        </w:rPr>
        <w:t xml:space="preserve">Così brevemente richiamato il quadro normativo di riferimento, occorre infine dare conto di una corrente dottrinale e giurisprudenziale che afferma l’esistenza del </w:t>
      </w:r>
      <w:proofErr w:type="spellStart"/>
      <w:r>
        <w:rPr>
          <w:rFonts w:ascii="Roboto Slab" w:hAnsi="Roboto Slab" w:cs="Tahoma"/>
          <w:sz w:val="20"/>
          <w:szCs w:val="20"/>
        </w:rPr>
        <w:t>c.d</w:t>
      </w:r>
      <w:proofErr w:type="spellEnd"/>
      <w:r>
        <w:rPr>
          <w:rFonts w:ascii="Roboto Slab" w:hAnsi="Roboto Slab" w:cs="Tahoma"/>
          <w:sz w:val="20"/>
          <w:szCs w:val="20"/>
        </w:rPr>
        <w:t xml:space="preserve"> “</w:t>
      </w:r>
      <w:r w:rsidRPr="005D6F9A">
        <w:rPr>
          <w:rFonts w:ascii="Roboto Slab" w:hAnsi="Roboto Slab" w:cs="Tahoma"/>
          <w:i/>
          <w:sz w:val="20"/>
          <w:szCs w:val="20"/>
          <w:u w:val="single"/>
        </w:rPr>
        <w:t xml:space="preserve">principio di </w:t>
      </w:r>
      <w:proofErr w:type="spellStart"/>
      <w:r w:rsidRPr="005D6F9A">
        <w:rPr>
          <w:rFonts w:ascii="Roboto Slab" w:hAnsi="Roboto Slab" w:cs="Tahoma"/>
          <w:i/>
          <w:sz w:val="20"/>
          <w:szCs w:val="20"/>
          <w:u w:val="single"/>
        </w:rPr>
        <w:t>omnicomprensività</w:t>
      </w:r>
      <w:proofErr w:type="spellEnd"/>
      <w:r w:rsidRPr="005D6F9A">
        <w:rPr>
          <w:rFonts w:ascii="Roboto Slab" w:hAnsi="Roboto Slab" w:cs="Tahoma"/>
          <w:i/>
          <w:sz w:val="20"/>
          <w:szCs w:val="20"/>
          <w:u w:val="single"/>
        </w:rPr>
        <w:t xml:space="preserve"> della retribuzione</w:t>
      </w:r>
      <w:r>
        <w:rPr>
          <w:rFonts w:ascii="Roboto Slab" w:hAnsi="Roboto Slab" w:cs="Tahoma"/>
          <w:sz w:val="20"/>
          <w:szCs w:val="20"/>
        </w:rPr>
        <w:t>”.</w:t>
      </w:r>
    </w:p>
    <w:p w14:paraId="7CEF84C4" w14:textId="77777777" w:rsidR="00D06D47" w:rsidRDefault="00D06D47" w:rsidP="00D06D47">
      <w:pPr>
        <w:ind w:right="849"/>
        <w:jc w:val="both"/>
        <w:rPr>
          <w:rFonts w:ascii="Roboto Slab" w:hAnsi="Roboto Slab" w:cs="Tahoma"/>
          <w:sz w:val="20"/>
          <w:szCs w:val="20"/>
        </w:rPr>
      </w:pPr>
    </w:p>
    <w:p w14:paraId="2BA1F404" w14:textId="6F50CDE6" w:rsidR="00D06D47" w:rsidRDefault="00D06D47" w:rsidP="00D06D47">
      <w:pPr>
        <w:ind w:right="849"/>
        <w:jc w:val="both"/>
        <w:rPr>
          <w:rFonts w:ascii="Roboto Slab" w:hAnsi="Roboto Slab" w:cs="Tahoma"/>
          <w:sz w:val="20"/>
          <w:szCs w:val="20"/>
        </w:rPr>
      </w:pPr>
      <w:r>
        <w:rPr>
          <w:rFonts w:ascii="Roboto Slab" w:hAnsi="Roboto Slab" w:cs="Tahoma"/>
          <w:sz w:val="20"/>
          <w:szCs w:val="20"/>
        </w:rPr>
        <w:t xml:space="preserve">La tesi in esame sostiene, con la sola esclusione degli incarichi esterni conferiti ai sensi dell’art. 53, commi 7 e seguenti, del D.lgs. n. 165/2001, che gli incarichi conferiti in ragione dell’ufficio ricoperto dall’amministrazione di appartenenza non potrebbero essere </w:t>
      </w:r>
      <w:r w:rsidR="00F218C4">
        <w:rPr>
          <w:rFonts w:ascii="Roboto Slab" w:hAnsi="Roboto Slab" w:cs="Tahoma"/>
          <w:sz w:val="20"/>
          <w:szCs w:val="20"/>
        </w:rPr>
        <w:t>oggetto di compensi aggiuntivi poiché già coperti dalla retribuzione ordinaria del lavoratore dipendente. La tesi fonda, inoltre, su una lettura dell’art. 76 del contratto collettivo nazionale, comparto università, che sancirebbe il principio anche per i dipendenti di categoria EP (</w:t>
      </w:r>
      <w:r w:rsidR="00F218C4" w:rsidRPr="00F218C4">
        <w:rPr>
          <w:rFonts w:ascii="Roboto Slab" w:hAnsi="Roboto Slab" w:cs="Tahoma"/>
          <w:i/>
          <w:sz w:val="20"/>
          <w:szCs w:val="20"/>
        </w:rPr>
        <w:t>Elevata Professionalità</w:t>
      </w:r>
      <w:r w:rsidR="00F218C4">
        <w:rPr>
          <w:rFonts w:ascii="Roboto Slab" w:hAnsi="Roboto Slab" w:cs="Tahoma"/>
          <w:sz w:val="20"/>
          <w:szCs w:val="20"/>
        </w:rPr>
        <w:t xml:space="preserve">, </w:t>
      </w:r>
      <w:proofErr w:type="spellStart"/>
      <w:r w:rsidR="00F218C4">
        <w:rPr>
          <w:rFonts w:ascii="Roboto Slab" w:hAnsi="Roboto Slab" w:cs="Tahoma"/>
          <w:sz w:val="20"/>
          <w:szCs w:val="20"/>
        </w:rPr>
        <w:t>n.d.a.</w:t>
      </w:r>
      <w:proofErr w:type="spellEnd"/>
      <w:r w:rsidR="00F218C4">
        <w:rPr>
          <w:rFonts w:ascii="Roboto Slab" w:hAnsi="Roboto Slab" w:cs="Tahoma"/>
          <w:sz w:val="20"/>
          <w:szCs w:val="20"/>
        </w:rPr>
        <w:t>).</w:t>
      </w:r>
    </w:p>
    <w:p w14:paraId="5C4572C5" w14:textId="77777777" w:rsidR="00F218C4" w:rsidRDefault="00F218C4" w:rsidP="00D06D47">
      <w:pPr>
        <w:ind w:right="849"/>
        <w:jc w:val="both"/>
        <w:rPr>
          <w:rFonts w:ascii="Roboto Slab" w:hAnsi="Roboto Slab" w:cs="Tahoma"/>
          <w:sz w:val="20"/>
          <w:szCs w:val="20"/>
        </w:rPr>
      </w:pPr>
    </w:p>
    <w:p w14:paraId="461CBDF2" w14:textId="0D48DAAB" w:rsidR="005D6F9A" w:rsidRDefault="005D6F9A" w:rsidP="00D06D47">
      <w:pPr>
        <w:ind w:right="849"/>
        <w:jc w:val="both"/>
        <w:rPr>
          <w:rFonts w:ascii="Roboto Slab" w:hAnsi="Roboto Slab" w:cs="Tahoma"/>
          <w:sz w:val="20"/>
          <w:szCs w:val="20"/>
        </w:rPr>
      </w:pPr>
      <w:r>
        <w:rPr>
          <w:rFonts w:ascii="Roboto Slab" w:hAnsi="Roboto Slab" w:cs="Tahoma"/>
          <w:sz w:val="20"/>
          <w:szCs w:val="20"/>
        </w:rPr>
        <w:t>Tale lettura, sebbene confortata da alcune pronunce giurisprudenziali di merito e legittimità, non sembra aderente al dettato normativo. Una inte</w:t>
      </w:r>
      <w:r w:rsidR="00EA369E">
        <w:rPr>
          <w:rFonts w:ascii="Roboto Slab" w:hAnsi="Roboto Slab" w:cs="Tahoma"/>
          <w:sz w:val="20"/>
          <w:szCs w:val="20"/>
        </w:rPr>
        <w:t>rpretazione letterale delle sing</w:t>
      </w:r>
      <w:r>
        <w:rPr>
          <w:rFonts w:ascii="Roboto Slab" w:hAnsi="Roboto Slab" w:cs="Tahoma"/>
          <w:sz w:val="20"/>
          <w:szCs w:val="20"/>
        </w:rPr>
        <w:t xml:space="preserve">ole disposizioni e sistematica del complesso di leggi, decreti e regolamenti </w:t>
      </w:r>
      <w:r w:rsidR="00056327">
        <w:rPr>
          <w:rFonts w:ascii="Roboto Slab" w:hAnsi="Roboto Slab" w:cs="Tahoma"/>
          <w:sz w:val="20"/>
          <w:szCs w:val="20"/>
        </w:rPr>
        <w:t>conduce alle seguenti conclusioni:</w:t>
      </w:r>
    </w:p>
    <w:p w14:paraId="0A0B2B10" w14:textId="77777777" w:rsidR="00056327" w:rsidRDefault="00056327" w:rsidP="00D06D47">
      <w:pPr>
        <w:ind w:right="849"/>
        <w:jc w:val="both"/>
        <w:rPr>
          <w:rFonts w:ascii="Roboto Slab" w:hAnsi="Roboto Slab" w:cs="Tahoma"/>
          <w:sz w:val="20"/>
          <w:szCs w:val="20"/>
        </w:rPr>
      </w:pPr>
    </w:p>
    <w:p w14:paraId="657CED27" w14:textId="4FFEBD91" w:rsidR="00056327" w:rsidRDefault="00056327" w:rsidP="00056327">
      <w:pPr>
        <w:pStyle w:val="Paragrafoelenco"/>
        <w:numPr>
          <w:ilvl w:val="0"/>
          <w:numId w:val="3"/>
        </w:numPr>
        <w:ind w:right="849"/>
        <w:jc w:val="both"/>
        <w:rPr>
          <w:rFonts w:ascii="Roboto Slab" w:hAnsi="Roboto Slab" w:cs="Tahoma"/>
          <w:sz w:val="20"/>
          <w:szCs w:val="20"/>
        </w:rPr>
      </w:pPr>
      <w:r>
        <w:rPr>
          <w:rFonts w:ascii="Roboto Slab" w:hAnsi="Roboto Slab" w:cs="Tahoma"/>
          <w:sz w:val="20"/>
          <w:szCs w:val="20"/>
        </w:rPr>
        <w:t xml:space="preserve">La Legge n. 487/1994 stabilisce, perlomeno implicitamente, la </w:t>
      </w:r>
      <w:proofErr w:type="spellStart"/>
      <w:r>
        <w:rPr>
          <w:rFonts w:ascii="Roboto Slab" w:hAnsi="Roboto Slab" w:cs="Tahoma"/>
          <w:sz w:val="20"/>
          <w:szCs w:val="20"/>
        </w:rPr>
        <w:t>retribuibilità</w:t>
      </w:r>
      <w:proofErr w:type="spellEnd"/>
      <w:r>
        <w:rPr>
          <w:rFonts w:ascii="Roboto Slab" w:hAnsi="Roboto Slab" w:cs="Tahoma"/>
          <w:sz w:val="20"/>
          <w:szCs w:val="20"/>
        </w:rPr>
        <w:t xml:space="preserve"> delle commissioni esaminatrici rinviando la determinazione dei compensi ad un successivo D.P.C:M., poi adottato nel 1995;</w:t>
      </w:r>
    </w:p>
    <w:p w14:paraId="75D037EF" w14:textId="222116DC" w:rsidR="00056327" w:rsidRDefault="00056327" w:rsidP="00056327">
      <w:pPr>
        <w:pStyle w:val="Paragrafoelenco"/>
        <w:numPr>
          <w:ilvl w:val="0"/>
          <w:numId w:val="3"/>
        </w:numPr>
        <w:ind w:right="849"/>
        <w:jc w:val="both"/>
        <w:rPr>
          <w:rFonts w:ascii="Roboto Slab" w:hAnsi="Roboto Slab" w:cs="Tahoma"/>
          <w:sz w:val="20"/>
          <w:szCs w:val="20"/>
        </w:rPr>
      </w:pPr>
      <w:r>
        <w:rPr>
          <w:rFonts w:ascii="Roboto Slab" w:hAnsi="Roboto Slab" w:cs="Tahoma"/>
          <w:sz w:val="20"/>
          <w:szCs w:val="20"/>
        </w:rPr>
        <w:t>La Legge n. 56/2019 conferma la tesi all’art. 3, comma 13, laddove rinvia ad un successivo D.P.C.M. per l’aggiornamento dei compensi da corrispondere;</w:t>
      </w:r>
    </w:p>
    <w:p w14:paraId="5AD46B31" w14:textId="6125C35D" w:rsidR="00056327" w:rsidRDefault="00056327" w:rsidP="00056327">
      <w:pPr>
        <w:pStyle w:val="Paragrafoelenco"/>
        <w:numPr>
          <w:ilvl w:val="0"/>
          <w:numId w:val="3"/>
        </w:numPr>
        <w:ind w:right="849"/>
        <w:jc w:val="both"/>
        <w:rPr>
          <w:rFonts w:ascii="Roboto Slab" w:hAnsi="Roboto Slab" w:cs="Tahoma"/>
          <w:sz w:val="20"/>
          <w:szCs w:val="20"/>
        </w:rPr>
      </w:pPr>
      <w:r>
        <w:rPr>
          <w:rFonts w:ascii="Roboto Slab" w:hAnsi="Roboto Slab" w:cs="Tahoma"/>
          <w:sz w:val="20"/>
          <w:szCs w:val="20"/>
        </w:rPr>
        <w:t xml:space="preserve">L’art. 24 del </w:t>
      </w:r>
      <w:proofErr w:type="spellStart"/>
      <w:r>
        <w:rPr>
          <w:rFonts w:ascii="Roboto Slab" w:hAnsi="Roboto Slab" w:cs="Tahoma"/>
          <w:sz w:val="20"/>
          <w:szCs w:val="20"/>
        </w:rPr>
        <w:t>D.lgs</w:t>
      </w:r>
      <w:proofErr w:type="spellEnd"/>
      <w:r>
        <w:rPr>
          <w:rFonts w:ascii="Roboto Slab" w:hAnsi="Roboto Slab" w:cs="Tahoma"/>
          <w:sz w:val="20"/>
          <w:szCs w:val="20"/>
        </w:rPr>
        <w:t xml:space="preserve"> n. 165/2001 pone il cd. </w:t>
      </w:r>
      <w:r w:rsidR="00C776E4" w:rsidRPr="00C776E4">
        <w:rPr>
          <w:rFonts w:ascii="Roboto Slab" w:hAnsi="Roboto Slab" w:cs="Tahoma"/>
          <w:sz w:val="20"/>
          <w:szCs w:val="20"/>
          <w:u w:val="single"/>
        </w:rPr>
        <w:t xml:space="preserve">“principio di </w:t>
      </w:r>
      <w:proofErr w:type="spellStart"/>
      <w:r w:rsidR="00C776E4" w:rsidRPr="00C776E4">
        <w:rPr>
          <w:rFonts w:ascii="Roboto Slab" w:hAnsi="Roboto Slab" w:cs="Tahoma"/>
          <w:sz w:val="20"/>
          <w:szCs w:val="20"/>
          <w:u w:val="single"/>
        </w:rPr>
        <w:t>omnicomprensività</w:t>
      </w:r>
      <w:proofErr w:type="spellEnd"/>
      <w:r w:rsidR="00C776E4" w:rsidRPr="00C776E4">
        <w:rPr>
          <w:rFonts w:ascii="Roboto Slab" w:hAnsi="Roboto Slab" w:cs="Tahoma"/>
          <w:sz w:val="20"/>
          <w:szCs w:val="20"/>
          <w:u w:val="single"/>
        </w:rPr>
        <w:t xml:space="preserve">” </w:t>
      </w:r>
      <w:r w:rsidRPr="00C776E4">
        <w:rPr>
          <w:rFonts w:ascii="Roboto Slab" w:hAnsi="Roboto Slab" w:cs="Tahoma"/>
          <w:sz w:val="20"/>
          <w:szCs w:val="20"/>
          <w:u w:val="single"/>
        </w:rPr>
        <w:t xml:space="preserve">limitatamente al </w:t>
      </w:r>
      <w:r w:rsidR="00C776E4" w:rsidRPr="00C776E4">
        <w:rPr>
          <w:rFonts w:ascii="Roboto Slab" w:hAnsi="Roboto Slab" w:cs="Tahoma"/>
          <w:sz w:val="20"/>
          <w:szCs w:val="20"/>
          <w:u w:val="single"/>
        </w:rPr>
        <w:t xml:space="preserve">solo </w:t>
      </w:r>
      <w:r w:rsidRPr="00C776E4">
        <w:rPr>
          <w:rFonts w:ascii="Roboto Slab" w:hAnsi="Roboto Slab" w:cs="Tahoma"/>
          <w:sz w:val="20"/>
          <w:szCs w:val="20"/>
          <w:u w:val="single"/>
        </w:rPr>
        <w:t>personale con qualifica dirigenziale</w:t>
      </w:r>
      <w:r w:rsidR="00C776E4">
        <w:rPr>
          <w:rFonts w:ascii="Roboto Slab" w:hAnsi="Roboto Slab" w:cs="Tahoma"/>
          <w:sz w:val="20"/>
          <w:szCs w:val="20"/>
        </w:rPr>
        <w:t>;</w:t>
      </w:r>
      <w:bookmarkStart w:id="0" w:name="_GoBack"/>
      <w:bookmarkEnd w:id="0"/>
    </w:p>
    <w:p w14:paraId="73EF6E9F" w14:textId="7E5A22DD" w:rsidR="00056327" w:rsidRDefault="00056327" w:rsidP="00056327">
      <w:pPr>
        <w:pStyle w:val="Paragrafoelenco"/>
        <w:numPr>
          <w:ilvl w:val="0"/>
          <w:numId w:val="3"/>
        </w:numPr>
        <w:ind w:right="849"/>
        <w:jc w:val="both"/>
        <w:rPr>
          <w:rFonts w:ascii="Roboto Slab" w:hAnsi="Roboto Slab" w:cs="Tahoma"/>
          <w:sz w:val="20"/>
          <w:szCs w:val="20"/>
        </w:rPr>
      </w:pPr>
      <w:r>
        <w:rPr>
          <w:rFonts w:ascii="Roboto Slab" w:hAnsi="Roboto Slab" w:cs="Tahoma"/>
          <w:sz w:val="20"/>
          <w:szCs w:val="20"/>
        </w:rPr>
        <w:t>L’art. 76 del CCNL comparto università non stabilisce in alcun modo la natura omnicomprensiva della retribuzione del personale di categoria EP</w:t>
      </w:r>
      <w:r w:rsidR="00A25C6E">
        <w:rPr>
          <w:rFonts w:ascii="Roboto Slab" w:hAnsi="Roboto Slab" w:cs="Tahoma"/>
          <w:sz w:val="20"/>
          <w:szCs w:val="20"/>
        </w:rPr>
        <w:t>, ma contiene solo una elencazione di attività e incarichi che si intendono coperti dalla retribuzione ordinaria.</w:t>
      </w:r>
    </w:p>
    <w:p w14:paraId="2B65E049" w14:textId="77777777" w:rsidR="00A25C6E" w:rsidRDefault="00A25C6E" w:rsidP="00A25C6E">
      <w:pPr>
        <w:ind w:left="360" w:right="849"/>
        <w:jc w:val="both"/>
        <w:rPr>
          <w:rFonts w:ascii="Roboto Slab" w:hAnsi="Roboto Slab" w:cs="Tahoma"/>
          <w:sz w:val="20"/>
          <w:szCs w:val="20"/>
        </w:rPr>
      </w:pPr>
    </w:p>
    <w:p w14:paraId="02BCDBCA" w14:textId="4C4136F2" w:rsidR="00A25C6E" w:rsidRDefault="00A25C6E" w:rsidP="00A25C6E">
      <w:pPr>
        <w:ind w:right="849"/>
        <w:jc w:val="both"/>
        <w:rPr>
          <w:rFonts w:ascii="Roboto Slab" w:hAnsi="Roboto Slab" w:cs="Tahoma"/>
          <w:sz w:val="20"/>
          <w:szCs w:val="20"/>
        </w:rPr>
      </w:pPr>
      <w:r>
        <w:rPr>
          <w:rFonts w:ascii="Roboto Slab" w:hAnsi="Roboto Slab" w:cs="Tahoma"/>
          <w:sz w:val="20"/>
          <w:szCs w:val="20"/>
        </w:rPr>
        <w:t xml:space="preserve">Tanto premesso </w:t>
      </w:r>
      <w:r w:rsidR="00521B49">
        <w:rPr>
          <w:rFonts w:ascii="Roboto Slab" w:hAnsi="Roboto Slab" w:cs="Tahoma"/>
          <w:sz w:val="20"/>
          <w:szCs w:val="20"/>
        </w:rPr>
        <w:t>si aderisce</w:t>
      </w:r>
      <w:r>
        <w:rPr>
          <w:rFonts w:ascii="Roboto Slab" w:hAnsi="Roboto Slab" w:cs="Tahoma"/>
          <w:sz w:val="20"/>
          <w:szCs w:val="20"/>
        </w:rPr>
        <w:t xml:space="preserve"> alle conclusioni cui è giunta la Corte dei Conti, sezione regionale di controllo per la Lombardia, la quale ha </w:t>
      </w:r>
      <w:r w:rsidR="00521B49">
        <w:rPr>
          <w:rFonts w:ascii="Roboto Slab" w:hAnsi="Roboto Slab" w:cs="Tahoma"/>
          <w:sz w:val="20"/>
          <w:szCs w:val="20"/>
        </w:rPr>
        <w:t>ritenuto</w:t>
      </w:r>
      <w:r>
        <w:rPr>
          <w:rFonts w:ascii="Roboto Slab" w:hAnsi="Roboto Slab" w:cs="Tahoma"/>
          <w:sz w:val="20"/>
          <w:szCs w:val="20"/>
        </w:rPr>
        <w:t xml:space="preserve"> “</w:t>
      </w:r>
      <w:r w:rsidRPr="00521B49">
        <w:rPr>
          <w:rFonts w:ascii="Roboto Slab" w:hAnsi="Roboto Slab" w:cs="Tahoma"/>
          <w:i/>
          <w:sz w:val="20"/>
          <w:szCs w:val="20"/>
          <w:u w:val="single"/>
        </w:rPr>
        <w:t>ai componenti delle commissioni di concorsi pubblici, banditi da una amministrazione diversa da quella di appartenenza, ancorché privi di qualifica dirigenziale, spetti il compenso per l’attività di presidente, componente o segretario</w:t>
      </w:r>
      <w:r>
        <w:rPr>
          <w:rFonts w:ascii="Roboto Slab" w:hAnsi="Roboto Slab" w:cs="Tahoma"/>
          <w:sz w:val="20"/>
          <w:szCs w:val="20"/>
        </w:rPr>
        <w:t>”. (Corte dei Conti n. 440/2019).</w:t>
      </w:r>
    </w:p>
    <w:p w14:paraId="7F7630FC" w14:textId="77777777" w:rsidR="00A25C6E" w:rsidRDefault="00A25C6E" w:rsidP="00A25C6E">
      <w:pPr>
        <w:ind w:right="849"/>
        <w:jc w:val="both"/>
        <w:rPr>
          <w:rFonts w:ascii="Roboto Slab" w:hAnsi="Roboto Slab" w:cs="Tahoma"/>
          <w:sz w:val="20"/>
          <w:szCs w:val="20"/>
        </w:rPr>
      </w:pPr>
    </w:p>
    <w:p w14:paraId="74422523" w14:textId="14B55608" w:rsidR="00A25C6E" w:rsidRPr="00521B49" w:rsidRDefault="00A25C6E" w:rsidP="00A25C6E">
      <w:pPr>
        <w:ind w:right="849"/>
        <w:jc w:val="both"/>
        <w:rPr>
          <w:rFonts w:ascii="Roboto Slab" w:hAnsi="Roboto Slab" w:cs="Tahoma"/>
          <w:b/>
          <w:sz w:val="20"/>
          <w:szCs w:val="20"/>
        </w:rPr>
      </w:pPr>
      <w:r w:rsidRPr="00521B49">
        <w:rPr>
          <w:rFonts w:ascii="Roboto Slab" w:hAnsi="Roboto Slab" w:cs="Tahoma"/>
          <w:b/>
          <w:sz w:val="20"/>
          <w:szCs w:val="20"/>
          <w:u w:val="single"/>
        </w:rPr>
        <w:t xml:space="preserve">Relativamente alle procedure indette dall’amministrazione di appartenenza, si ritiene che, in assenza di una espresso divieto contenuto in leggi e regolamenti, gli incarichi di presidente, componente o segretario siano </w:t>
      </w:r>
      <w:proofErr w:type="spellStart"/>
      <w:r w:rsidRPr="00521B49">
        <w:rPr>
          <w:rFonts w:ascii="Roboto Slab" w:hAnsi="Roboto Slab" w:cs="Tahoma"/>
          <w:b/>
          <w:sz w:val="20"/>
          <w:szCs w:val="20"/>
          <w:u w:val="single"/>
        </w:rPr>
        <w:t>retribuibili</w:t>
      </w:r>
      <w:proofErr w:type="spellEnd"/>
      <w:r w:rsidRPr="00521B49">
        <w:rPr>
          <w:rFonts w:ascii="Roboto Slab" w:hAnsi="Roboto Slab" w:cs="Tahoma"/>
          <w:b/>
          <w:sz w:val="20"/>
          <w:szCs w:val="20"/>
        </w:rPr>
        <w:t>.</w:t>
      </w:r>
    </w:p>
    <w:p w14:paraId="0F583476" w14:textId="77777777" w:rsidR="0074664B" w:rsidRDefault="0074664B" w:rsidP="0074664B">
      <w:pPr>
        <w:ind w:right="849"/>
        <w:jc w:val="both"/>
        <w:rPr>
          <w:rFonts w:ascii="Roboto Slab" w:hAnsi="Roboto Slab" w:cs="Tahoma"/>
          <w:sz w:val="20"/>
          <w:szCs w:val="20"/>
        </w:rPr>
      </w:pPr>
    </w:p>
    <w:p w14:paraId="1557E1AB" w14:textId="77777777" w:rsidR="00521B49" w:rsidRDefault="00521B49" w:rsidP="0074664B">
      <w:pPr>
        <w:ind w:right="849"/>
        <w:jc w:val="both"/>
        <w:rPr>
          <w:rFonts w:ascii="Roboto Slab" w:hAnsi="Roboto Slab" w:cs="Tahoma"/>
          <w:sz w:val="20"/>
          <w:szCs w:val="20"/>
        </w:rPr>
      </w:pPr>
    </w:p>
    <w:p w14:paraId="67790701" w14:textId="290E9FCF" w:rsidR="00521B49" w:rsidRPr="0074664B" w:rsidRDefault="00521B49" w:rsidP="0074664B">
      <w:pPr>
        <w:ind w:right="849"/>
        <w:jc w:val="both"/>
        <w:rPr>
          <w:rFonts w:ascii="Roboto Slab" w:hAnsi="Roboto Slab" w:cs="Tahoma"/>
          <w:sz w:val="20"/>
          <w:szCs w:val="20"/>
        </w:rPr>
      </w:pPr>
      <w:r>
        <w:rPr>
          <w:rFonts w:ascii="Roboto Slab" w:hAnsi="Roboto Slab" w:cs="Tahoma"/>
          <w:sz w:val="20"/>
          <w:szCs w:val="20"/>
        </w:rPr>
        <w:t>S.L.</w:t>
      </w:r>
    </w:p>
    <w:sectPr w:rsidR="00521B49" w:rsidRPr="0074664B" w:rsidSect="00384E4B">
      <w:headerReference w:type="even" r:id="rId9"/>
      <w:headerReference w:type="default" r:id="rId10"/>
      <w:footerReference w:type="even" r:id="rId11"/>
      <w:footerReference w:type="default" r:id="rId12"/>
      <w:headerReference w:type="first" r:id="rId13"/>
      <w:footerReference w:type="first" r:id="rId14"/>
      <w:pgSz w:w="11901" w:h="16817"/>
      <w:pgMar w:top="1418" w:right="1418" w:bottom="1418" w:left="1418" w:header="709"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804F5" w14:textId="77777777" w:rsidR="00860FF7" w:rsidRDefault="00860FF7" w:rsidP="00773678">
      <w:r>
        <w:separator/>
      </w:r>
    </w:p>
  </w:endnote>
  <w:endnote w:type="continuationSeparator" w:id="0">
    <w:p w14:paraId="08ED9397" w14:textId="77777777" w:rsidR="00860FF7" w:rsidRDefault="00860FF7" w:rsidP="0077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 Slab">
    <w:altName w:val="Arial"/>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73577" w14:textId="77777777" w:rsidR="00A06CF6" w:rsidRDefault="00A06CF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B0143" w14:textId="712488EA" w:rsidR="00823AA6" w:rsidRPr="006913C5" w:rsidRDefault="0004501A" w:rsidP="00823AA6">
    <w:pPr>
      <w:pStyle w:val="Pidipagina"/>
      <w:rPr>
        <w:rFonts w:ascii="Roboto Slab" w:hAnsi="Roboto Slab"/>
        <w:sz w:val="14"/>
        <w:szCs w:val="14"/>
      </w:rPr>
    </w:pPr>
    <w:r w:rsidRPr="006913C5">
      <w:rPr>
        <w:rFonts w:ascii="Roboto Slab" w:hAnsi="Roboto Slab"/>
        <w:noProof/>
        <w:sz w:val="14"/>
        <w:szCs w:val="14"/>
        <w:lang w:eastAsia="it-IT"/>
      </w:rPr>
      <mc:AlternateContent>
        <mc:Choice Requires="wps">
          <w:drawing>
            <wp:anchor distT="0" distB="0" distL="114300" distR="114300" simplePos="0" relativeHeight="251659264" behindDoc="0" locked="0" layoutInCell="1" allowOverlap="1" wp14:anchorId="6F045C96" wp14:editId="26F25BFB">
              <wp:simplePos x="0" y="0"/>
              <wp:positionH relativeFrom="column">
                <wp:posOffset>-48260</wp:posOffset>
              </wp:positionH>
              <wp:positionV relativeFrom="paragraph">
                <wp:posOffset>-39370</wp:posOffset>
              </wp:positionV>
              <wp:extent cx="860400" cy="176"/>
              <wp:effectExtent l="0" t="0" r="29210" b="25400"/>
              <wp:wrapNone/>
              <wp:docPr id="2" name="Connettore 1 2"/>
              <wp:cNvGraphicFramePr/>
              <a:graphic xmlns:a="http://schemas.openxmlformats.org/drawingml/2006/main">
                <a:graphicData uri="http://schemas.microsoft.com/office/word/2010/wordprocessingShape">
                  <wps:wsp>
                    <wps:cNvCnPr/>
                    <wps:spPr>
                      <a:xfrm>
                        <a:off x="0" y="0"/>
                        <a:ext cx="860400" cy="1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F3C994" id="Connettore 1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3.1pt" to="63.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" strokecolor="black [3200]" strokeweight=".5pt">
              <v:stroke joinstyle="miter"/>
            </v:line>
          </w:pict>
        </mc:Fallback>
      </mc:AlternateContent>
    </w:r>
    <w:r w:rsidR="00672102" w:rsidRPr="006913C5">
      <w:rPr>
        <w:rFonts w:ascii="Roboto Slab" w:hAnsi="Roboto Slab"/>
        <w:sz w:val="14"/>
        <w:szCs w:val="14"/>
      </w:rPr>
      <w:t>U</w:t>
    </w:r>
    <w:r w:rsidR="00823AA6" w:rsidRPr="006913C5">
      <w:rPr>
        <w:rFonts w:ascii="Roboto Slab" w:hAnsi="Roboto Slab"/>
        <w:sz w:val="14"/>
        <w:szCs w:val="14"/>
      </w:rPr>
      <w:t xml:space="preserve">niversità di Pavia – </w:t>
    </w:r>
    <w:r w:rsidR="00A06CF6">
      <w:rPr>
        <w:rFonts w:ascii="Roboto Slab" w:hAnsi="Roboto Slab"/>
        <w:sz w:val="14"/>
        <w:szCs w:val="14"/>
      </w:rPr>
      <w:t>DIREZIONE GENERALE</w:t>
    </w:r>
    <w:r w:rsidR="00823AA6" w:rsidRPr="006913C5">
      <w:rPr>
        <w:rFonts w:ascii="Roboto Slab" w:hAnsi="Roboto Slab"/>
        <w:sz w:val="14"/>
        <w:szCs w:val="14"/>
      </w:rPr>
      <w:t xml:space="preserve"> – Servizio </w:t>
    </w:r>
    <w:r w:rsidR="00A06CF6">
      <w:rPr>
        <w:rFonts w:ascii="Roboto Slab" w:hAnsi="Roboto Slab"/>
        <w:sz w:val="14"/>
        <w:szCs w:val="14"/>
      </w:rPr>
      <w:t>Legale</w:t>
    </w:r>
  </w:p>
  <w:p w14:paraId="67EC7015" w14:textId="7957F370" w:rsidR="00823AA6" w:rsidRPr="006913C5" w:rsidRDefault="00A06CF6" w:rsidP="00823AA6">
    <w:pPr>
      <w:pStyle w:val="Intestazione"/>
      <w:rPr>
        <w:rFonts w:ascii="Roboto Slab" w:hAnsi="Roboto Slab" w:cs="Arial"/>
        <w:bCs/>
        <w:sz w:val="14"/>
        <w:szCs w:val="14"/>
      </w:rPr>
    </w:pPr>
    <w:r>
      <w:rPr>
        <w:rFonts w:ascii="Roboto Slab" w:hAnsi="Roboto Slab" w:cs="Arial"/>
        <w:bCs/>
        <w:sz w:val="14"/>
        <w:szCs w:val="14"/>
      </w:rPr>
      <w:t>Corso Strada Nuova, 65 -</w:t>
    </w:r>
    <w:r w:rsidR="00823AA6">
      <w:rPr>
        <w:rFonts w:ascii="Roboto Slab" w:hAnsi="Roboto Slab" w:cs="Arial"/>
        <w:bCs/>
        <w:sz w:val="14"/>
        <w:szCs w:val="14"/>
      </w:rPr>
      <w:t xml:space="preserve"> 27100 Pavia (Italia) - </w:t>
    </w:r>
    <w:r w:rsidR="00823AA6" w:rsidRPr="006913C5">
      <w:rPr>
        <w:rFonts w:ascii="Roboto Slab" w:hAnsi="Roboto Slab"/>
        <w:sz w:val="14"/>
        <w:szCs w:val="14"/>
      </w:rPr>
      <w:t xml:space="preserve">T +39 0382 </w:t>
    </w:r>
    <w:r w:rsidR="00823AA6">
      <w:rPr>
        <w:rFonts w:ascii="Roboto Slab" w:hAnsi="Roboto Slab"/>
        <w:sz w:val="14"/>
        <w:szCs w:val="14"/>
      </w:rPr>
      <w:t xml:space="preserve">98 </w:t>
    </w:r>
    <w:r>
      <w:rPr>
        <w:rFonts w:ascii="Roboto Slab" w:hAnsi="Roboto Slab"/>
        <w:sz w:val="14"/>
        <w:szCs w:val="14"/>
      </w:rPr>
      <w:t>4456</w:t>
    </w:r>
    <w:r w:rsidR="00823AA6">
      <w:rPr>
        <w:rFonts w:ascii="Roboto Slab" w:hAnsi="Roboto Slab"/>
        <w:sz w:val="14"/>
        <w:szCs w:val="14"/>
      </w:rPr>
      <w:t xml:space="preserve"> </w:t>
    </w:r>
  </w:p>
  <w:p w14:paraId="191349C2" w14:textId="404D9866" w:rsidR="00672102" w:rsidRPr="006913C5" w:rsidRDefault="00A06CF6" w:rsidP="00823AA6">
    <w:pPr>
      <w:pStyle w:val="Pidipagina"/>
      <w:rPr>
        <w:rFonts w:ascii="Roboto Slab" w:hAnsi="Roboto Slab"/>
        <w:sz w:val="14"/>
        <w:szCs w:val="14"/>
      </w:rPr>
    </w:pPr>
    <w:r>
      <w:rPr>
        <w:rFonts w:ascii="Roboto Slab" w:hAnsi="Roboto Slab"/>
        <w:sz w:val="14"/>
        <w:szCs w:val="14"/>
      </w:rPr>
      <w:t>servizio.legale</w:t>
    </w:r>
    <w:r w:rsidR="00823AA6">
      <w:rPr>
        <w:rFonts w:ascii="Roboto Slab" w:hAnsi="Roboto Slab"/>
        <w:sz w:val="14"/>
        <w:szCs w:val="14"/>
      </w:rPr>
      <w:t>@unipv.it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3CBD7" w14:textId="77777777" w:rsidR="00A06CF6" w:rsidRDefault="00A06C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E3B53" w14:textId="77777777" w:rsidR="00860FF7" w:rsidRDefault="00860FF7" w:rsidP="00773678">
      <w:r>
        <w:separator/>
      </w:r>
    </w:p>
  </w:footnote>
  <w:footnote w:type="continuationSeparator" w:id="0">
    <w:p w14:paraId="4251872A" w14:textId="77777777" w:rsidR="00860FF7" w:rsidRDefault="00860FF7" w:rsidP="00773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320F5" w14:textId="77777777" w:rsidR="00A06CF6" w:rsidRDefault="00A06CF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8EBCA" w14:textId="77777777" w:rsidR="00773678" w:rsidRDefault="00773678" w:rsidP="00773678">
    <w:pPr>
      <w:pStyle w:val="Intestazione"/>
    </w:pPr>
  </w:p>
  <w:p w14:paraId="42D6BE83" w14:textId="77777777" w:rsidR="00CF2E88" w:rsidRDefault="00CF2E88" w:rsidP="00773678">
    <w:pPr>
      <w:pStyle w:val="Intestazione"/>
    </w:pPr>
  </w:p>
  <w:p w14:paraId="09AA8292" w14:textId="23131302" w:rsidR="00773678" w:rsidRDefault="00BA2F53" w:rsidP="00773678">
    <w:pPr>
      <w:pStyle w:val="Intestazione"/>
    </w:pPr>
    <w:r>
      <w:rPr>
        <w:noProof/>
        <w:lang w:eastAsia="it-IT"/>
      </w:rPr>
      <w:drawing>
        <wp:inline distT="0" distB="0" distL="0" distR="0" wp14:anchorId="2DCCFA6C" wp14:editId="5DA0BBA0">
          <wp:extent cx="1717200" cy="828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7200" cy="828000"/>
                  </a:xfrm>
                  <a:prstGeom prst="rect">
                    <a:avLst/>
                  </a:prstGeom>
                </pic:spPr>
              </pic:pic>
            </a:graphicData>
          </a:graphic>
        </wp:inline>
      </w:drawing>
    </w:r>
  </w:p>
  <w:p w14:paraId="6D5FDAE0" w14:textId="77777777" w:rsidR="00773678" w:rsidRDefault="00773678" w:rsidP="00773678">
    <w:pPr>
      <w:pStyle w:val="Intestazione"/>
    </w:pPr>
  </w:p>
  <w:p w14:paraId="115CBA4A" w14:textId="77777777" w:rsidR="00773678" w:rsidRDefault="00773678" w:rsidP="0077367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252BC" w14:textId="77777777" w:rsidR="00A06CF6" w:rsidRDefault="00A06CF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7800"/>
    <w:multiLevelType w:val="hybridMultilevel"/>
    <w:tmpl w:val="ED1E1F84"/>
    <w:lvl w:ilvl="0" w:tplc="B7A846E4">
      <w:numFmt w:val="bullet"/>
      <w:lvlText w:val="-"/>
      <w:lvlJc w:val="left"/>
      <w:pPr>
        <w:ind w:left="720" w:hanging="360"/>
      </w:pPr>
      <w:rPr>
        <w:rFonts w:ascii="Roboto Slab" w:eastAsiaTheme="minorHAnsi" w:hAnsi="Roboto Sla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3D4C26"/>
    <w:multiLevelType w:val="hybridMultilevel"/>
    <w:tmpl w:val="274A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3F87870"/>
    <w:multiLevelType w:val="hybridMultilevel"/>
    <w:tmpl w:val="86142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78"/>
    <w:rsid w:val="0000365A"/>
    <w:rsid w:val="00016E39"/>
    <w:rsid w:val="000219BE"/>
    <w:rsid w:val="000446E6"/>
    <w:rsid w:val="0004501A"/>
    <w:rsid w:val="0004664F"/>
    <w:rsid w:val="00056327"/>
    <w:rsid w:val="000C6132"/>
    <w:rsid w:val="000D1E86"/>
    <w:rsid w:val="0010092A"/>
    <w:rsid w:val="00110794"/>
    <w:rsid w:val="00121BB6"/>
    <w:rsid w:val="00137B30"/>
    <w:rsid w:val="001852D0"/>
    <w:rsid w:val="0019134C"/>
    <w:rsid w:val="001E49BE"/>
    <w:rsid w:val="001E59DD"/>
    <w:rsid w:val="0020420F"/>
    <w:rsid w:val="00211658"/>
    <w:rsid w:val="00213F09"/>
    <w:rsid w:val="00296918"/>
    <w:rsid w:val="002F3998"/>
    <w:rsid w:val="00340CDE"/>
    <w:rsid w:val="00371AAD"/>
    <w:rsid w:val="00371D76"/>
    <w:rsid w:val="00384E4B"/>
    <w:rsid w:val="003854AA"/>
    <w:rsid w:val="003D7FCC"/>
    <w:rsid w:val="003E25DF"/>
    <w:rsid w:val="003E43B8"/>
    <w:rsid w:val="003F10EB"/>
    <w:rsid w:val="004019B9"/>
    <w:rsid w:val="00456983"/>
    <w:rsid w:val="00491FC1"/>
    <w:rsid w:val="004A6ECF"/>
    <w:rsid w:val="004D42C5"/>
    <w:rsid w:val="00521B49"/>
    <w:rsid w:val="005230D8"/>
    <w:rsid w:val="005304B4"/>
    <w:rsid w:val="005A6CA2"/>
    <w:rsid w:val="005C3E57"/>
    <w:rsid w:val="005C605E"/>
    <w:rsid w:val="005D6F9A"/>
    <w:rsid w:val="005E53C2"/>
    <w:rsid w:val="00623081"/>
    <w:rsid w:val="00662B53"/>
    <w:rsid w:val="00672102"/>
    <w:rsid w:val="006913C5"/>
    <w:rsid w:val="006A5F9F"/>
    <w:rsid w:val="006B1431"/>
    <w:rsid w:val="0072396D"/>
    <w:rsid w:val="0074664B"/>
    <w:rsid w:val="00773678"/>
    <w:rsid w:val="0079392F"/>
    <w:rsid w:val="007D3725"/>
    <w:rsid w:val="007D4917"/>
    <w:rsid w:val="007D5323"/>
    <w:rsid w:val="0080453B"/>
    <w:rsid w:val="00816E5C"/>
    <w:rsid w:val="00823AA6"/>
    <w:rsid w:val="008428C3"/>
    <w:rsid w:val="008446F2"/>
    <w:rsid w:val="00860FF7"/>
    <w:rsid w:val="008A3F2C"/>
    <w:rsid w:val="008A6802"/>
    <w:rsid w:val="00910B46"/>
    <w:rsid w:val="009A24E5"/>
    <w:rsid w:val="009E4B7C"/>
    <w:rsid w:val="009E526F"/>
    <w:rsid w:val="009E6B20"/>
    <w:rsid w:val="00A02375"/>
    <w:rsid w:val="00A043D1"/>
    <w:rsid w:val="00A06CF6"/>
    <w:rsid w:val="00A25C6E"/>
    <w:rsid w:val="00A315A6"/>
    <w:rsid w:val="00A70213"/>
    <w:rsid w:val="00AA3E0C"/>
    <w:rsid w:val="00AA4F80"/>
    <w:rsid w:val="00AB7E94"/>
    <w:rsid w:val="00AE51D1"/>
    <w:rsid w:val="00B43AC0"/>
    <w:rsid w:val="00BA2F53"/>
    <w:rsid w:val="00C109D1"/>
    <w:rsid w:val="00C1682C"/>
    <w:rsid w:val="00C172BC"/>
    <w:rsid w:val="00C776E4"/>
    <w:rsid w:val="00C8225F"/>
    <w:rsid w:val="00CE6145"/>
    <w:rsid w:val="00CF2E88"/>
    <w:rsid w:val="00D06D47"/>
    <w:rsid w:val="00D41172"/>
    <w:rsid w:val="00D85FDF"/>
    <w:rsid w:val="00DA34F5"/>
    <w:rsid w:val="00DB45FA"/>
    <w:rsid w:val="00DC0C5A"/>
    <w:rsid w:val="00DF0E65"/>
    <w:rsid w:val="00E23C8C"/>
    <w:rsid w:val="00E244BD"/>
    <w:rsid w:val="00E546BB"/>
    <w:rsid w:val="00E860D7"/>
    <w:rsid w:val="00E90820"/>
    <w:rsid w:val="00EA369E"/>
    <w:rsid w:val="00EA4A15"/>
    <w:rsid w:val="00EB3735"/>
    <w:rsid w:val="00EE36AC"/>
    <w:rsid w:val="00EF4900"/>
    <w:rsid w:val="00EF7BEE"/>
    <w:rsid w:val="00F02790"/>
    <w:rsid w:val="00F218C4"/>
    <w:rsid w:val="00F40D54"/>
    <w:rsid w:val="00F94D37"/>
    <w:rsid w:val="00FB1544"/>
    <w:rsid w:val="00FB5A4D"/>
    <w:rsid w:val="00FF071E"/>
    <w:rsid w:val="00FF41D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7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uiPriority w:val="9"/>
    <w:semiHidden/>
    <w:unhideWhenUsed/>
    <w:qFormat/>
    <w:rsid w:val="0074664B"/>
    <w:pPr>
      <w:keepNext/>
      <w:ind w:right="849"/>
      <w:outlineLvl w:val="3"/>
    </w:pPr>
    <w:rPr>
      <w:rFonts w:ascii="Tahoma" w:eastAsia="Times New Roman" w:hAnsi="Tahoma" w:cs="Tahom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73678"/>
    <w:pPr>
      <w:tabs>
        <w:tab w:val="center" w:pos="4819"/>
        <w:tab w:val="right" w:pos="9638"/>
      </w:tabs>
    </w:pPr>
  </w:style>
  <w:style w:type="character" w:customStyle="1" w:styleId="IntestazioneCarattere">
    <w:name w:val="Intestazione Carattere"/>
    <w:basedOn w:val="Carpredefinitoparagrafo"/>
    <w:link w:val="Intestazione"/>
    <w:uiPriority w:val="99"/>
    <w:rsid w:val="00773678"/>
  </w:style>
  <w:style w:type="paragraph" w:styleId="Pidipagina">
    <w:name w:val="footer"/>
    <w:basedOn w:val="Normale"/>
    <w:link w:val="PidipaginaCarattere"/>
    <w:uiPriority w:val="99"/>
    <w:unhideWhenUsed/>
    <w:rsid w:val="00773678"/>
    <w:pPr>
      <w:tabs>
        <w:tab w:val="center" w:pos="4819"/>
        <w:tab w:val="right" w:pos="9638"/>
      </w:tabs>
    </w:pPr>
  </w:style>
  <w:style w:type="character" w:customStyle="1" w:styleId="PidipaginaCarattere">
    <w:name w:val="Piè di pagina Carattere"/>
    <w:basedOn w:val="Carpredefinitoparagrafo"/>
    <w:link w:val="Pidipagina"/>
    <w:uiPriority w:val="99"/>
    <w:rsid w:val="00773678"/>
  </w:style>
  <w:style w:type="paragraph" w:styleId="NormaleWeb">
    <w:name w:val="Normal (Web)"/>
    <w:basedOn w:val="Normale"/>
    <w:uiPriority w:val="99"/>
    <w:unhideWhenUsed/>
    <w:rsid w:val="00773678"/>
    <w:pPr>
      <w:spacing w:before="100" w:beforeAutospacing="1" w:after="100" w:afterAutospacing="1"/>
    </w:pPr>
    <w:rPr>
      <w:rFonts w:ascii="Times New Roman" w:hAnsi="Times New Roman" w:cs="Times New Roman"/>
      <w:lang w:eastAsia="it-IT"/>
    </w:rPr>
  </w:style>
  <w:style w:type="paragraph" w:styleId="Paragrafoelenco">
    <w:name w:val="List Paragraph"/>
    <w:basedOn w:val="Normale"/>
    <w:uiPriority w:val="34"/>
    <w:qFormat/>
    <w:rsid w:val="005230D8"/>
    <w:pPr>
      <w:ind w:left="720"/>
      <w:contextualSpacing/>
    </w:pPr>
  </w:style>
  <w:style w:type="character" w:styleId="Collegamentoipertestuale">
    <w:name w:val="Hyperlink"/>
    <w:basedOn w:val="Carpredefinitoparagrafo"/>
    <w:uiPriority w:val="99"/>
    <w:unhideWhenUsed/>
    <w:rsid w:val="005230D8"/>
    <w:rPr>
      <w:color w:val="0563C1" w:themeColor="hyperlink"/>
      <w:u w:val="single"/>
    </w:rPr>
  </w:style>
  <w:style w:type="paragraph" w:styleId="Testofumetto">
    <w:name w:val="Balloon Text"/>
    <w:basedOn w:val="Normale"/>
    <w:link w:val="TestofumettoCarattere"/>
    <w:uiPriority w:val="99"/>
    <w:semiHidden/>
    <w:unhideWhenUsed/>
    <w:rsid w:val="00F40D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0D54"/>
    <w:rPr>
      <w:rFonts w:ascii="Tahoma" w:hAnsi="Tahoma" w:cs="Tahoma"/>
      <w:sz w:val="16"/>
      <w:szCs w:val="16"/>
    </w:rPr>
  </w:style>
  <w:style w:type="character" w:customStyle="1" w:styleId="Titolo4Carattere">
    <w:name w:val="Titolo 4 Carattere"/>
    <w:basedOn w:val="Carpredefinitoparagrafo"/>
    <w:link w:val="Titolo4"/>
    <w:uiPriority w:val="9"/>
    <w:semiHidden/>
    <w:rsid w:val="0074664B"/>
    <w:rPr>
      <w:rFonts w:ascii="Tahoma" w:eastAsia="Times New Roman" w:hAnsi="Tahoma" w:cs="Tahoma"/>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uiPriority w:val="9"/>
    <w:semiHidden/>
    <w:unhideWhenUsed/>
    <w:qFormat/>
    <w:rsid w:val="0074664B"/>
    <w:pPr>
      <w:keepNext/>
      <w:ind w:right="849"/>
      <w:outlineLvl w:val="3"/>
    </w:pPr>
    <w:rPr>
      <w:rFonts w:ascii="Tahoma" w:eastAsia="Times New Roman" w:hAnsi="Tahoma" w:cs="Tahom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73678"/>
    <w:pPr>
      <w:tabs>
        <w:tab w:val="center" w:pos="4819"/>
        <w:tab w:val="right" w:pos="9638"/>
      </w:tabs>
    </w:pPr>
  </w:style>
  <w:style w:type="character" w:customStyle="1" w:styleId="IntestazioneCarattere">
    <w:name w:val="Intestazione Carattere"/>
    <w:basedOn w:val="Carpredefinitoparagrafo"/>
    <w:link w:val="Intestazione"/>
    <w:uiPriority w:val="99"/>
    <w:rsid w:val="00773678"/>
  </w:style>
  <w:style w:type="paragraph" w:styleId="Pidipagina">
    <w:name w:val="footer"/>
    <w:basedOn w:val="Normale"/>
    <w:link w:val="PidipaginaCarattere"/>
    <w:uiPriority w:val="99"/>
    <w:unhideWhenUsed/>
    <w:rsid w:val="00773678"/>
    <w:pPr>
      <w:tabs>
        <w:tab w:val="center" w:pos="4819"/>
        <w:tab w:val="right" w:pos="9638"/>
      </w:tabs>
    </w:pPr>
  </w:style>
  <w:style w:type="character" w:customStyle="1" w:styleId="PidipaginaCarattere">
    <w:name w:val="Piè di pagina Carattere"/>
    <w:basedOn w:val="Carpredefinitoparagrafo"/>
    <w:link w:val="Pidipagina"/>
    <w:uiPriority w:val="99"/>
    <w:rsid w:val="00773678"/>
  </w:style>
  <w:style w:type="paragraph" w:styleId="NormaleWeb">
    <w:name w:val="Normal (Web)"/>
    <w:basedOn w:val="Normale"/>
    <w:uiPriority w:val="99"/>
    <w:unhideWhenUsed/>
    <w:rsid w:val="00773678"/>
    <w:pPr>
      <w:spacing w:before="100" w:beforeAutospacing="1" w:after="100" w:afterAutospacing="1"/>
    </w:pPr>
    <w:rPr>
      <w:rFonts w:ascii="Times New Roman" w:hAnsi="Times New Roman" w:cs="Times New Roman"/>
      <w:lang w:eastAsia="it-IT"/>
    </w:rPr>
  </w:style>
  <w:style w:type="paragraph" w:styleId="Paragrafoelenco">
    <w:name w:val="List Paragraph"/>
    <w:basedOn w:val="Normale"/>
    <w:uiPriority w:val="34"/>
    <w:qFormat/>
    <w:rsid w:val="005230D8"/>
    <w:pPr>
      <w:ind w:left="720"/>
      <w:contextualSpacing/>
    </w:pPr>
  </w:style>
  <w:style w:type="character" w:styleId="Collegamentoipertestuale">
    <w:name w:val="Hyperlink"/>
    <w:basedOn w:val="Carpredefinitoparagrafo"/>
    <w:uiPriority w:val="99"/>
    <w:unhideWhenUsed/>
    <w:rsid w:val="005230D8"/>
    <w:rPr>
      <w:color w:val="0563C1" w:themeColor="hyperlink"/>
      <w:u w:val="single"/>
    </w:rPr>
  </w:style>
  <w:style w:type="paragraph" w:styleId="Testofumetto">
    <w:name w:val="Balloon Text"/>
    <w:basedOn w:val="Normale"/>
    <w:link w:val="TestofumettoCarattere"/>
    <w:uiPriority w:val="99"/>
    <w:semiHidden/>
    <w:unhideWhenUsed/>
    <w:rsid w:val="00F40D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0D54"/>
    <w:rPr>
      <w:rFonts w:ascii="Tahoma" w:hAnsi="Tahoma" w:cs="Tahoma"/>
      <w:sz w:val="16"/>
      <w:szCs w:val="16"/>
    </w:rPr>
  </w:style>
  <w:style w:type="character" w:customStyle="1" w:styleId="Titolo4Carattere">
    <w:name w:val="Titolo 4 Carattere"/>
    <w:basedOn w:val="Carpredefinitoparagrafo"/>
    <w:link w:val="Titolo4"/>
    <w:uiPriority w:val="9"/>
    <w:semiHidden/>
    <w:rsid w:val="0074664B"/>
    <w:rPr>
      <w:rFonts w:ascii="Tahoma" w:eastAsia="Times New Roman" w:hAnsi="Tahoma" w:cs="Tahom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5875">
      <w:bodyDiv w:val="1"/>
      <w:marLeft w:val="0"/>
      <w:marRight w:val="0"/>
      <w:marTop w:val="0"/>
      <w:marBottom w:val="0"/>
      <w:divBdr>
        <w:top w:val="none" w:sz="0" w:space="0" w:color="auto"/>
        <w:left w:val="none" w:sz="0" w:space="0" w:color="auto"/>
        <w:bottom w:val="none" w:sz="0" w:space="0" w:color="auto"/>
        <w:right w:val="none" w:sz="0" w:space="0" w:color="auto"/>
      </w:divBdr>
    </w:div>
    <w:div w:id="910235061">
      <w:bodyDiv w:val="1"/>
      <w:marLeft w:val="0"/>
      <w:marRight w:val="0"/>
      <w:marTop w:val="0"/>
      <w:marBottom w:val="0"/>
      <w:divBdr>
        <w:top w:val="none" w:sz="0" w:space="0" w:color="auto"/>
        <w:left w:val="none" w:sz="0" w:space="0" w:color="auto"/>
        <w:bottom w:val="none" w:sz="0" w:space="0" w:color="auto"/>
        <w:right w:val="none" w:sz="0" w:space="0" w:color="auto"/>
      </w:divBdr>
    </w:div>
    <w:div w:id="1668249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BD76EB-95E7-4F87-B666-2BB46C5D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671</Words>
  <Characters>3827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cp:lastModifiedBy>
  <cp:revision>5</cp:revision>
  <cp:lastPrinted>2020-02-03T09:50:00Z</cp:lastPrinted>
  <dcterms:created xsi:type="dcterms:W3CDTF">2020-02-12T12:49:00Z</dcterms:created>
  <dcterms:modified xsi:type="dcterms:W3CDTF">2020-02-12T12:54:00Z</dcterms:modified>
</cp:coreProperties>
</file>